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3" w:lineRule="exact"/>
        <w:rPr>
          <w:sz w:val="24"/>
          <w:szCs w:val="24"/>
          <w:color w:val="auto"/>
        </w:rPr>
      </w:pPr>
    </w:p>
    <w:p>
      <w:pPr>
        <w:ind w:left="320"/>
        <w:spacing w:after="0" w:line="283"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-188595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right="4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2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2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5159375</wp:posOffset>
            </wp:positionH>
            <wp:positionV relativeFrom="paragraph">
              <wp:posOffset>-591185</wp:posOffset>
            </wp:positionV>
            <wp:extent cx="56515" cy="60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452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-591185</wp:posOffset>
            </wp:positionV>
            <wp:extent cx="56515" cy="604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452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626110</wp:posOffset>
            </wp:positionV>
            <wp:extent cx="7000875" cy="8857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0875" cy="8857615"/>
                    </a:xfrm>
                    <a:prstGeom prst="rect">
                      <a:avLst/>
                    </a:prstGeom>
                    <a:noFill/>
                  </pic:spPr>
                </pic:pic>
              </a:graphicData>
            </a:graphic>
          </wp:anchor>
        </w:drawing>
      </w:r>
    </w:p>
    <w:p>
      <w:pPr>
        <w:spacing w:after="0" w:line="1052" w:lineRule="exact"/>
        <w:rPr>
          <w:sz w:val="24"/>
          <w:szCs w:val="24"/>
          <w:color w:val="auto"/>
        </w:rPr>
      </w:pPr>
    </w:p>
    <w:p>
      <w:pPr>
        <w:sectPr>
          <w:pgSz w:w="11900" w:h="16838" w:orient="portrait"/>
          <w:cols w:equalWidth="0" w:num="2">
            <w:col w:w="2300" w:space="440"/>
            <w:col w:w="8340"/>
          </w:cols>
          <w:pgMar w:left="460" w:top="212"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Wu Lei</w:t>
        </w:r>
      </w:hyperlink>
    </w:p>
    <w:p>
      <w:pPr>
        <w:spacing w:after="0" w:line="283" w:lineRule="exact"/>
        <w:rPr>
          <w:sz w:val="24"/>
          <w:szCs w:val="24"/>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00" w:right="400"/>
        <w:spacing w:after="0" w:line="347" w:lineRule="auto"/>
        <w:rPr>
          <w:sz w:val="20"/>
          <w:szCs w:val="20"/>
          <w:color w:val="auto"/>
        </w:rPr>
      </w:pPr>
      <w:r>
        <w:rPr>
          <w:rFonts w:ascii="Times New Roman" w:cs="Times New Roman" w:eastAsia="Times New Roman" w:hAnsi="Times New Roman"/>
          <w:sz w:val="16"/>
          <w:szCs w:val="16"/>
          <w:color w:val="0000FF"/>
        </w:rPr>
        <w:t>C/O GIGACLOUD TECHNOLOGY INC 4388 SHIRLEY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GigaCloud Technology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GCT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ind w:left="5" w:right="780" w:hanging="5"/>
        <w:spacing w:after="0" w:line="271" w:lineRule="auto"/>
        <w:tabs>
          <w:tab w:leader="none" w:pos="14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25"/>
        <w:spacing w:after="0"/>
        <w:tabs>
          <w:tab w:leader="none" w:pos="1731"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8"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2"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83" w:lineRule="exact"/>
        <w:rPr>
          <w:sz w:val="24"/>
          <w:szCs w:val="24"/>
          <w:color w:val="auto"/>
        </w:rPr>
      </w:pPr>
    </w:p>
    <w:p>
      <w:pPr>
        <w:sectPr>
          <w:pgSz w:w="11900" w:h="16838" w:orient="portrait"/>
          <w:cols w:equalWidth="0" w:num="3">
            <w:col w:w="3180" w:space="720"/>
            <w:col w:w="3115" w:space="720"/>
            <w:col w:w="3345"/>
          </w:cols>
          <w:pgMar w:left="460" w:top="212" w:right="359" w:bottom="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700" w:type="dxa"/>
            <w:vAlign w:val="bottom"/>
            <w:gridSpan w:val="3"/>
          </w:tcPr>
          <w:p>
            <w:pPr>
              <w:ind w:left="8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60" w:type="dxa"/>
            <w:vAlign w:val="bottom"/>
            <w:gridSpan w:val="10"/>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EL MONTE</w:t>
            </w: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CA</w:t>
            </w:r>
          </w:p>
        </w:tc>
        <w:tc>
          <w:tcPr>
            <w:tcW w:w="78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91731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60" w:type="dxa"/>
            <w:vAlign w:val="bottom"/>
            <w:gridSpan w:val="4"/>
          </w:tcPr>
          <w:p>
            <w:pPr>
              <w:ind w:left="280"/>
              <w:spacing w:after="0"/>
              <w:rPr>
                <w:sz w:val="20"/>
                <w:szCs w:val="20"/>
                <w:color w:val="auto"/>
              </w:rPr>
            </w:pPr>
            <w:r>
              <w:rPr>
                <w:rFonts w:ascii="Arial" w:cs="Arial" w:eastAsia="Arial" w:hAnsi="Arial"/>
                <w:sz w:val="12"/>
                <w:szCs w:val="12"/>
                <w:color w:val="auto"/>
              </w:rPr>
              <w:t>Form filed by One Reporting Person</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7"/>
          </w:tcPr>
          <w:p>
            <w:pPr>
              <w:jc w:val="center"/>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780" w:type="dxa"/>
            <w:vAlign w:val="bottom"/>
          </w:tcPr>
          <w:p>
            <w:pPr>
              <w:ind w:left="12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2740" w:type="dxa"/>
            <w:vAlign w:val="bottom"/>
            <w:tcBorders>
              <w:bottom w:val="single" w:sz="8" w:color="2C2C2C"/>
            </w:tcBorders>
            <w:gridSpan w:val="6"/>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100" w:type="dxa"/>
            <w:vAlign w:val="bottom"/>
            <w:tcBorders>
              <w:top w:val="single" w:sz="8" w:color="2C2C2C"/>
            </w:tcBorders>
          </w:tcPr>
          <w:p>
            <w:pPr>
              <w:spacing w:after="0"/>
              <w:rPr>
                <w:sz w:val="20"/>
                <w:szCs w:val="20"/>
                <w:color w:val="auto"/>
              </w:rPr>
            </w:pPr>
          </w:p>
        </w:tc>
        <w:tc>
          <w:tcPr>
            <w:tcW w:w="6240" w:type="dxa"/>
            <w:vAlign w:val="bottom"/>
            <w:tcBorders>
              <w:top w:val="single" w:sz="8" w:color="2C2C2C"/>
            </w:tcBorders>
            <w:gridSpan w:val="17"/>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44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780" w:type="dxa"/>
            <w:vAlign w:val="bottom"/>
          </w:tcPr>
          <w:p>
            <w:pPr>
              <w:spacing w:after="0"/>
              <w:rPr>
                <w:sz w:val="13"/>
                <w:szCs w:val="13"/>
                <w:color w:val="auto"/>
              </w:rPr>
            </w:pPr>
          </w:p>
        </w:tc>
        <w:tc>
          <w:tcPr>
            <w:tcW w:w="940" w:type="dxa"/>
            <w:vAlign w:val="bottom"/>
            <w:gridSpan w:val="4"/>
          </w:tcPr>
          <w:p>
            <w:pPr>
              <w:ind w:left="40"/>
              <w:spacing w:after="0"/>
              <w:rPr>
                <w:sz w:val="20"/>
                <w:szCs w:val="20"/>
                <w:color w:val="auto"/>
              </w:rPr>
            </w:pPr>
            <w:r>
              <w:rPr>
                <w:rFonts w:ascii="Arial" w:cs="Arial" w:eastAsia="Arial" w:hAnsi="Arial"/>
                <w:sz w:val="11"/>
                <w:szCs w:val="11"/>
                <w:b w:val="1"/>
                <w:bCs w:val="1"/>
                <w:color w:val="auto"/>
              </w:rPr>
              <w:t>2. Transaction</w:t>
            </w:r>
          </w:p>
        </w:tc>
        <w:tc>
          <w:tcPr>
            <w:tcW w:w="100" w:type="dxa"/>
            <w:vAlign w:val="bottom"/>
          </w:tcPr>
          <w:p>
            <w:pPr>
              <w:spacing w:after="0"/>
              <w:rPr>
                <w:sz w:val="13"/>
                <w:szCs w:val="13"/>
                <w:color w:val="auto"/>
              </w:rPr>
            </w:pP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2"/>
              </w:rPr>
              <w:t>Date</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Form: Direct</w:t>
            </w:r>
          </w:p>
        </w:tc>
        <w:tc>
          <w:tcPr>
            <w:tcW w:w="10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100" w:type="dxa"/>
            <w:vAlign w:val="bottom"/>
          </w:tcPr>
          <w:p>
            <w:pPr>
              <w:spacing w:after="0"/>
              <w:rPr>
                <w:sz w:val="10"/>
                <w:szCs w:val="10"/>
                <w:color w:val="auto"/>
              </w:rPr>
            </w:pPr>
          </w:p>
        </w:tc>
        <w:tc>
          <w:tcPr>
            <w:tcW w:w="6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Beneficially Owned  (D) or Indirect</w:t>
            </w:r>
          </w:p>
        </w:tc>
        <w:tc>
          <w:tcPr>
            <w:tcW w:w="10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320" w:type="dxa"/>
            <w:vAlign w:val="bottom"/>
            <w:gridSpan w:val="2"/>
          </w:tcPr>
          <w:p>
            <w:pPr>
              <w:ind w:left="440"/>
              <w:spacing w:after="0" w:line="122" w:lineRule="exact"/>
              <w:rPr>
                <w:sz w:val="20"/>
                <w:szCs w:val="20"/>
                <w:color w:val="auto"/>
              </w:rPr>
            </w:pPr>
            <w:r>
              <w:rPr>
                <w:rFonts w:ascii="Arial" w:cs="Arial" w:eastAsia="Arial" w:hAnsi="Arial"/>
                <w:sz w:val="11"/>
                <w:szCs w:val="11"/>
                <w:b w:val="1"/>
                <w:bCs w:val="1"/>
                <w:color w:val="auto"/>
              </w:rPr>
              <w:t>(I) (Instr. 4)</w:t>
            </w:r>
          </w:p>
        </w:tc>
        <w:tc>
          <w:tcPr>
            <w:tcW w:w="108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70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gridSpan w:val="4"/>
            <w:vMerge w:val="restart"/>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(A) or</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Shan Lao</w:t>
            </w: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Hu Tong</w:t>
            </w:r>
          </w:p>
        </w:tc>
        <w:tc>
          <w:tcPr>
            <w:tcW w:w="0" w:type="dxa"/>
            <w:vAlign w:val="bottom"/>
          </w:tcPr>
          <w:p>
            <w:pPr>
              <w:spacing w:after="0"/>
              <w:rPr>
                <w:sz w:val="1"/>
                <w:szCs w:val="1"/>
                <w:color w:val="auto"/>
              </w:rPr>
            </w:pPr>
          </w:p>
        </w:tc>
      </w:tr>
      <w:tr>
        <w:trPr>
          <w:trHeight w:val="195"/>
        </w:trPr>
        <w:tc>
          <w:tcPr>
            <w:tcW w:w="322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color w:val="0000FF"/>
              </w:rPr>
              <w:t>Class A Ordinary Shares, par value $0.05 per</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LLC and Ji</w:t>
            </w:r>
          </w:p>
        </w:tc>
        <w:tc>
          <w:tcPr>
            <w:tcW w:w="0" w:type="dxa"/>
            <w:vAlign w:val="bottom"/>
          </w:tcPr>
          <w:p>
            <w:pPr>
              <w:spacing w:after="0"/>
              <w:rPr>
                <w:sz w:val="1"/>
                <w:szCs w:val="1"/>
                <w:color w:val="auto"/>
              </w:rPr>
            </w:pPr>
          </w:p>
        </w:tc>
      </w:tr>
      <w:tr>
        <w:trPr>
          <w:trHeight w:val="97"/>
        </w:trPr>
        <w:tc>
          <w:tcPr>
            <w:tcW w:w="3220" w:type="dxa"/>
            <w:vAlign w:val="bottom"/>
            <w:gridSpan w:val="6"/>
            <w:vMerge w:val="continue"/>
          </w:tcPr>
          <w:p>
            <w:pPr>
              <w:spacing w:after="0"/>
              <w:rPr>
                <w:sz w:val="8"/>
                <w:szCs w:val="8"/>
                <w:color w:val="auto"/>
              </w:rPr>
            </w:pPr>
          </w:p>
        </w:tc>
        <w:tc>
          <w:tcPr>
            <w:tcW w:w="9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color w:val="0000FF"/>
              </w:rPr>
              <w:t>06/04/2026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243,008</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460" w:type="dxa"/>
            <w:vAlign w:val="bottom"/>
            <w:gridSpan w:val="3"/>
            <w:vMerge w:val="restart"/>
          </w:tcPr>
          <w:p>
            <w:pPr>
              <w:jc w:val="right"/>
              <w:ind w:right="564"/>
              <w:spacing w:after="0"/>
              <w:rPr>
                <w:sz w:val="20"/>
                <w:szCs w:val="20"/>
                <w:color w:val="auto"/>
              </w:rPr>
            </w:pPr>
            <w:r>
              <w:rPr>
                <w:rFonts w:ascii="Times New Roman" w:cs="Times New Roman" w:eastAsia="Times New Roman" w:hAnsi="Times New Roman"/>
                <w:sz w:val="16"/>
                <w:szCs w:val="16"/>
                <w:color w:val="0000FF"/>
              </w:rPr>
              <w:t>286,058</w:t>
            </w:r>
          </w:p>
        </w:tc>
        <w:tc>
          <w:tcPr>
            <w:tcW w:w="620" w:type="dxa"/>
            <w:vAlign w:val="bottom"/>
            <w:vMerge w:val="restart"/>
          </w:tcPr>
          <w:p>
            <w:pPr>
              <w:jc w:val="center"/>
              <w:ind w:right="283"/>
              <w:spacing w:after="0"/>
              <w:rPr>
                <w:sz w:val="20"/>
                <w:szCs w:val="20"/>
                <w:color w:val="auto"/>
              </w:rPr>
            </w:pPr>
            <w:r>
              <w:rPr>
                <w:rFonts w:ascii="Times New Roman" w:cs="Times New Roman" w:eastAsia="Times New Roman" w:hAnsi="Times New Roman"/>
                <w:sz w:val="16"/>
                <w:szCs w:val="16"/>
                <w:color w:val="0000FF"/>
                <w:w w:val="74"/>
              </w:rPr>
              <w:t>I</w:t>
            </w: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Xiang Hu</w:t>
            </w:r>
          </w:p>
        </w:tc>
        <w:tc>
          <w:tcPr>
            <w:tcW w:w="0" w:type="dxa"/>
            <w:vAlign w:val="bottom"/>
          </w:tcPr>
          <w:p>
            <w:pPr>
              <w:spacing w:after="0"/>
              <w:rPr>
                <w:sz w:val="1"/>
                <w:szCs w:val="1"/>
                <w:color w:val="auto"/>
              </w:rPr>
            </w:pPr>
          </w:p>
        </w:tc>
      </w:tr>
      <w:tr>
        <w:trPr>
          <w:trHeight w:val="97"/>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share</w:t>
            </w: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0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Tong</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Holdings</w:t>
            </w: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gridSpan w:val="4"/>
          </w:tcPr>
          <w:p>
            <w:pPr>
              <w:ind w:left="40"/>
              <w:spacing w:after="0" w:line="256" w:lineRule="exact"/>
              <w:rPr>
                <w:sz w:val="20"/>
                <w:szCs w:val="20"/>
                <w:color w:val="auto"/>
              </w:rPr>
            </w:pPr>
            <w:r>
              <w:rPr>
                <w:rFonts w:ascii="Times New Roman" w:cs="Times New Roman" w:eastAsia="Times New Roman" w:hAnsi="Times New Roman"/>
                <w:sz w:val="29"/>
                <w:szCs w:val="29"/>
                <w:color w:val="0000FF"/>
                <w:vertAlign w:val="subscript"/>
              </w:rPr>
              <w:t>Limited</w:t>
            </w:r>
            <w:r>
              <w:rPr>
                <w:rFonts w:ascii="Times New Roman" w:cs="Times New Roman" w:eastAsia="Times New Roman" w:hAnsi="Times New Roman"/>
                <w:sz w:val="10"/>
                <w:szCs w:val="10"/>
                <w:color w:val="008000"/>
              </w:rPr>
              <w:t>(1)(2)(3)</w:t>
            </w:r>
          </w:p>
        </w:tc>
        <w:tc>
          <w:tcPr>
            <w:tcW w:w="0" w:type="dxa"/>
            <w:vAlign w:val="bottom"/>
          </w:tcPr>
          <w:p>
            <w:pPr>
              <w:spacing w:after="0"/>
              <w:rPr>
                <w:sz w:val="1"/>
                <w:szCs w:val="1"/>
                <w:color w:val="auto"/>
              </w:rPr>
            </w:pPr>
          </w:p>
        </w:tc>
      </w:tr>
      <w:tr>
        <w:trPr>
          <w:trHeight w:val="230"/>
        </w:trPr>
        <w:tc>
          <w:tcPr>
            <w:tcW w:w="3220" w:type="dxa"/>
            <w:vAlign w:val="bottom"/>
            <w:tcBorders>
              <w:top w:val="single" w:sz="8" w:color="2C2C2C"/>
            </w:tcBorders>
            <w:gridSpan w:val="6"/>
          </w:tcPr>
          <w:p>
            <w:pPr>
              <w:ind w:left="80"/>
              <w:spacing w:after="0"/>
              <w:rPr>
                <w:sz w:val="20"/>
                <w:szCs w:val="20"/>
                <w:color w:val="auto"/>
              </w:rPr>
            </w:pPr>
            <w:r>
              <w:rPr>
                <w:rFonts w:ascii="Times New Roman" w:cs="Times New Roman" w:eastAsia="Times New Roman" w:hAnsi="Times New Roman"/>
                <w:sz w:val="16"/>
                <w:szCs w:val="16"/>
                <w:color w:val="0000FF"/>
              </w:rPr>
              <w:t>Class A Ordinary Shares, par value $0.05 per</w:t>
            </w:r>
          </w:p>
        </w:tc>
        <w:tc>
          <w:tcPr>
            <w:tcW w:w="2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460" w:type="dxa"/>
            <w:vAlign w:val="bottom"/>
            <w:tcBorders>
              <w:top w:val="single" w:sz="8" w:color="2C2C2C"/>
            </w:tcBorders>
            <w:gridSpan w:val="3"/>
            <w:vMerge w:val="restart"/>
          </w:tcPr>
          <w:p>
            <w:pPr>
              <w:jc w:val="right"/>
              <w:ind w:right="564"/>
              <w:spacing w:after="0"/>
              <w:rPr>
                <w:sz w:val="20"/>
                <w:szCs w:val="20"/>
                <w:color w:val="auto"/>
              </w:rPr>
            </w:pPr>
            <w:r>
              <w:rPr>
                <w:rFonts w:ascii="Times New Roman" w:cs="Times New Roman" w:eastAsia="Times New Roman" w:hAnsi="Times New Roman"/>
                <w:sz w:val="16"/>
                <w:szCs w:val="16"/>
                <w:color w:val="0000FF"/>
              </w:rPr>
              <w:t>160,000</w:t>
            </w:r>
          </w:p>
        </w:tc>
        <w:tc>
          <w:tcPr>
            <w:tcW w:w="620" w:type="dxa"/>
            <w:vAlign w:val="bottom"/>
            <w:tcBorders>
              <w:top w:val="single" w:sz="8" w:color="2C2C2C"/>
            </w:tcBorders>
            <w:vMerge w:val="restart"/>
          </w:tcPr>
          <w:p>
            <w:pPr>
              <w:jc w:val="center"/>
              <w:ind w:right="283"/>
              <w:spacing w:after="0"/>
              <w:rPr>
                <w:sz w:val="20"/>
                <w:szCs w:val="20"/>
                <w:color w:val="auto"/>
              </w:rPr>
            </w:pPr>
            <w:r>
              <w:rPr>
                <w:rFonts w:ascii="Times New Roman" w:cs="Times New Roman" w:eastAsia="Times New Roman" w:hAnsi="Times New Roman"/>
                <w:sz w:val="31"/>
                <w:szCs w:val="31"/>
                <w:color w:val="0000FF"/>
                <w:w w:val="90"/>
                <w:vertAlign w:val="subscript"/>
              </w:rPr>
              <w:t>D</w:t>
            </w:r>
            <w:r>
              <w:rPr>
                <w:rFonts w:ascii="Times New Roman" w:cs="Times New Roman" w:eastAsia="Times New Roman" w:hAnsi="Times New Roman"/>
                <w:sz w:val="10"/>
                <w:szCs w:val="10"/>
                <w:color w:val="008000"/>
                <w:w w:val="90"/>
              </w:rPr>
              <w:t>(3)</w:t>
            </w:r>
          </w:p>
        </w:tc>
        <w:tc>
          <w:tcPr>
            <w:tcW w:w="24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0000FF"/>
              </w:rPr>
              <w:t>share</w:t>
            </w: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0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86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274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40" w:type="dxa"/>
            <w:vAlign w:val="bottom"/>
            <w:gridSpan w:val="17"/>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700" w:type="dxa"/>
            <w:vAlign w:val="bottom"/>
            <w:gridSpan w:val="14"/>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00" w:type="dxa"/>
            <w:vAlign w:val="bottom"/>
            <w:gridSpan w:val="3"/>
          </w:tcPr>
          <w:p>
            <w:pPr>
              <w:ind w:left="8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w w:val="99"/>
              </w:rPr>
              <w:t>4. Transaction</w:t>
            </w:r>
          </w:p>
        </w:tc>
        <w:tc>
          <w:tcPr>
            <w:tcW w:w="40" w:type="dxa"/>
            <w:vAlign w:val="bottom"/>
          </w:tcPr>
          <w:p>
            <w:pPr>
              <w:spacing w:after="0"/>
              <w:rPr>
                <w:sz w:val="13"/>
                <w:szCs w:val="13"/>
                <w:color w:val="auto"/>
              </w:rPr>
            </w:pPr>
          </w:p>
        </w:tc>
        <w:tc>
          <w:tcPr>
            <w:tcW w:w="100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9. Number of</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84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7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9"/>
              </w:rPr>
              <w:t>Conversion</w:t>
            </w:r>
          </w:p>
        </w:tc>
        <w:tc>
          <w:tcPr>
            <w:tcW w:w="11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w w:val="99"/>
              </w:rPr>
              <w:t>Code (Instr. 8)</w:t>
            </w:r>
          </w:p>
        </w:tc>
        <w:tc>
          <w:tcPr>
            <w:tcW w:w="40" w:type="dxa"/>
            <w:vAlign w:val="bottom"/>
          </w:tcPr>
          <w:p>
            <w:pPr>
              <w:spacing w:after="0"/>
              <w:rPr>
                <w:sz w:val="10"/>
                <w:szCs w:val="10"/>
                <w:color w:val="auto"/>
              </w:rPr>
            </w:pPr>
          </w:p>
        </w:tc>
        <w:tc>
          <w:tcPr>
            <w:tcW w:w="5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4"/>
              </w:rPr>
              <w:t>Derivative</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Ownership</w:t>
            </w:r>
          </w:p>
        </w:tc>
        <w:tc>
          <w:tcPr>
            <w:tcW w:w="840" w:type="dxa"/>
            <w:vAlign w:val="bottom"/>
            <w:tcBorders>
              <w:right w:val="single" w:sz="8" w:color="2C2C2C"/>
            </w:tcBorders>
            <w:gridSpan w:val="3"/>
          </w:tcPr>
          <w:p>
            <w:pPr>
              <w:ind w:left="2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7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or Exercise</w:t>
            </w:r>
          </w:p>
        </w:tc>
        <w:tc>
          <w:tcPr>
            <w:tcW w:w="11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4"/>
              </w:rPr>
              <w:t>Securities</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(Month/Day/Year)</w:t>
            </w: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840" w:type="dxa"/>
            <w:vAlign w:val="bottom"/>
            <w:tcBorders>
              <w:right w:val="single" w:sz="8" w:color="2C2C2C"/>
            </w:tcBorders>
            <w:gridSpan w:val="3"/>
          </w:tcPr>
          <w:p>
            <w:pPr>
              <w:ind w:left="2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0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6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86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2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86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60"/>
              <w:spacing w:after="0" w:line="122"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86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0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Code</w:t>
            </w:r>
          </w:p>
        </w:tc>
        <w:tc>
          <w:tcPr>
            <w:tcW w:w="100" w:type="dxa"/>
            <w:vAlign w:val="bottom"/>
          </w:tcPr>
          <w:p>
            <w:pPr>
              <w:spacing w:after="0"/>
              <w:rPr>
                <w:sz w:val="20"/>
                <w:szCs w:val="20"/>
                <w:color w:val="auto"/>
              </w:rPr>
            </w:pPr>
            <w:r>
              <w:rPr>
                <w:rFonts w:ascii="Arial" w:cs="Arial" w:eastAsia="Arial" w:hAnsi="Arial"/>
                <w:sz w:val="11"/>
                <w:szCs w:val="11"/>
                <w:b w:val="1"/>
                <w:bCs w:val="1"/>
                <w:color w:val="auto"/>
              </w:rPr>
              <w:t>V</w:t>
            </w:r>
          </w:p>
        </w:tc>
        <w:tc>
          <w:tcPr>
            <w:tcW w:w="40" w:type="dxa"/>
            <w:vAlign w:val="bottom"/>
          </w:tcPr>
          <w:p>
            <w:pPr>
              <w:spacing w:after="0"/>
              <w:rPr>
                <w:sz w:val="12"/>
                <w:szCs w:val="12"/>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w w:val="99"/>
              </w:rPr>
              <w:t>of Shares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Forward</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Shan Lao</w:t>
            </w:r>
          </w:p>
        </w:tc>
        <w:tc>
          <w:tcPr>
            <w:tcW w:w="0" w:type="dxa"/>
            <w:vAlign w:val="bottom"/>
          </w:tcPr>
          <w:p>
            <w:pPr>
              <w:spacing w:after="0"/>
              <w:rPr>
                <w:sz w:val="1"/>
                <w:szCs w:val="1"/>
                <w:color w:val="auto"/>
              </w:rPr>
            </w:pPr>
          </w:p>
        </w:tc>
      </w:tr>
      <w:tr>
        <w:trPr>
          <w:trHeight w:val="72"/>
        </w:trPr>
        <w:tc>
          <w:tcPr>
            <w:tcW w:w="70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Hu Tong LLC</w:t>
            </w:r>
          </w:p>
        </w:tc>
        <w:tc>
          <w:tcPr>
            <w:tcW w:w="0" w:type="dxa"/>
            <w:vAlign w:val="bottom"/>
          </w:tcPr>
          <w:p>
            <w:pPr>
              <w:spacing w:after="0"/>
              <w:rPr>
                <w:sz w:val="1"/>
                <w:szCs w:val="1"/>
                <w:color w:val="auto"/>
              </w:rPr>
            </w:pPr>
          </w:p>
        </w:tc>
      </w:tr>
      <w:tr>
        <w:trPr>
          <w:trHeight w:val="62"/>
        </w:trPr>
        <w:tc>
          <w:tcPr>
            <w:tcW w:w="700" w:type="dxa"/>
            <w:vAlign w:val="bottom"/>
            <w:gridSpan w:val="3"/>
            <w:vMerge w:val="restart"/>
          </w:tcPr>
          <w:p>
            <w:pPr>
              <w:ind w:left="80"/>
              <w:spacing w:after="0" w:line="134" w:lineRule="exact"/>
              <w:rPr>
                <w:sz w:val="20"/>
                <w:szCs w:val="20"/>
                <w:color w:val="auto"/>
              </w:rPr>
            </w:pPr>
            <w:r>
              <w:rPr>
                <w:rFonts w:ascii="Times New Roman" w:cs="Times New Roman" w:eastAsia="Times New Roman" w:hAnsi="Times New Roman"/>
                <w:sz w:val="12"/>
                <w:szCs w:val="12"/>
                <w:color w:val="0000FF"/>
              </w:rPr>
              <w:t>sale</w:t>
            </w: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00" w:type="dxa"/>
            <w:vAlign w:val="bottom"/>
            <w:gridSpan w:val="3"/>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7"/>
              </w:rPr>
              <w:t>(4)(5)(6)</w:t>
            </w: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4"/>
                <w:szCs w:val="24"/>
                <w:color w:val="0000FF"/>
                <w:vertAlign w:val="subscript"/>
              </w:rPr>
              <w:t>J/K</w:t>
            </w:r>
            <w:r>
              <w:rPr>
                <w:rFonts w:ascii="Times New Roman" w:cs="Times New Roman" w:eastAsia="Times New Roman" w:hAnsi="Times New Roman"/>
                <w:sz w:val="10"/>
                <w:szCs w:val="10"/>
                <w:color w:val="008000"/>
              </w:rPr>
              <w:t>(4)(5)(6)</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(4)(5)(6)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(4)(5)(6)</w:t>
            </w:r>
          </w:p>
        </w:tc>
        <w:tc>
          <w:tcPr>
            <w:tcW w:w="560" w:type="dxa"/>
            <w:vAlign w:val="bottom"/>
            <w:vMerge w:val="restart"/>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w w:val="99"/>
              </w:rPr>
              <w:t>243,008</w:t>
            </w:r>
          </w:p>
        </w:tc>
        <w:tc>
          <w:tcPr>
            <w:tcW w:w="760" w:type="dxa"/>
            <w:vAlign w:val="bottom"/>
            <w:gridSpan w:val="2"/>
            <w:vMerge w:val="restart"/>
          </w:tcPr>
          <w:p>
            <w:pPr>
              <w:jc w:val="right"/>
              <w:ind w:right="144"/>
              <w:spacing w:after="0"/>
              <w:rPr>
                <w:sz w:val="20"/>
                <w:szCs w:val="20"/>
                <w:color w:val="auto"/>
              </w:rPr>
            </w:pPr>
            <w:r>
              <w:rPr>
                <w:rFonts w:ascii="Times New Roman" w:cs="Times New Roman" w:eastAsia="Times New Roman" w:hAnsi="Times New Roman"/>
                <w:sz w:val="10"/>
                <w:szCs w:val="10"/>
                <w:color w:val="008000"/>
              </w:rPr>
              <w:t>(4)(5)(6)</w:t>
            </w: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Borders>
              <w:right w:val="single" w:sz="8" w:color="2C2C2C"/>
            </w:tcBorders>
            <w:gridSpan w:val="3"/>
            <w:vMerge w:val="restart"/>
          </w:tcPr>
          <w:p>
            <w:pPr>
              <w:ind w:left="20"/>
              <w:spacing w:after="0" w:line="134" w:lineRule="exact"/>
              <w:rPr>
                <w:sz w:val="20"/>
                <w:szCs w:val="20"/>
                <w:color w:val="auto"/>
              </w:rPr>
            </w:pPr>
            <w:r>
              <w:rPr>
                <w:rFonts w:ascii="Times New Roman" w:cs="Times New Roman" w:eastAsia="Times New Roman" w:hAnsi="Times New Roman"/>
                <w:sz w:val="12"/>
                <w:szCs w:val="12"/>
                <w:color w:val="0000FF"/>
              </w:rPr>
              <w:t>and Ji Xiang</w:t>
            </w:r>
          </w:p>
        </w:tc>
        <w:tc>
          <w:tcPr>
            <w:tcW w:w="0" w:type="dxa"/>
            <w:vAlign w:val="bottom"/>
          </w:tcPr>
          <w:p>
            <w:pPr>
              <w:spacing w:after="0"/>
              <w:rPr>
                <w:sz w:val="1"/>
                <w:szCs w:val="1"/>
                <w:color w:val="auto"/>
              </w:rPr>
            </w:pPr>
          </w:p>
        </w:tc>
      </w:tr>
      <w:tr>
        <w:trPr>
          <w:trHeight w:val="62"/>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contract</w:t>
            </w:r>
          </w:p>
        </w:tc>
        <w:tc>
          <w:tcPr>
            <w:tcW w:w="640" w:type="dxa"/>
            <w:vAlign w:val="bottom"/>
            <w:vMerge w:val="continue"/>
          </w:tcPr>
          <w:p>
            <w:pPr>
              <w:spacing w:after="0"/>
              <w:rPr>
                <w:sz w:val="5"/>
                <w:szCs w:val="5"/>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06/04/2026</w:t>
            </w: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2"/>
                <w:szCs w:val="12"/>
                <w:color w:val="0000FF"/>
              </w:rPr>
              <w:t>243,008</w:t>
            </w: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restart"/>
          </w:tcPr>
          <w:p>
            <w:pPr>
              <w:jc w:val="center"/>
              <w:ind w:left="44"/>
              <w:spacing w:after="0"/>
              <w:rPr>
                <w:sz w:val="20"/>
                <w:szCs w:val="20"/>
                <w:color w:val="auto"/>
              </w:rPr>
            </w:pPr>
            <w:r>
              <w:rPr>
                <w:rFonts w:ascii="Times New Roman" w:cs="Times New Roman" w:eastAsia="Times New Roman" w:hAnsi="Times New Roman"/>
                <w:sz w:val="12"/>
                <w:szCs w:val="12"/>
                <w:color w:val="0000FF"/>
              </w:rPr>
              <w:t>243,008</w:t>
            </w:r>
          </w:p>
        </w:tc>
        <w:tc>
          <w:tcPr>
            <w:tcW w:w="620" w:type="dxa"/>
            <w:vAlign w:val="bottom"/>
            <w:vMerge w:val="restart"/>
          </w:tcPr>
          <w:p>
            <w:pPr>
              <w:jc w:val="center"/>
              <w:ind w:left="283"/>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70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color w:val="0000FF"/>
              </w:rPr>
              <w:t>par value</w:t>
            </w:r>
          </w:p>
        </w:tc>
        <w:tc>
          <w:tcPr>
            <w:tcW w:w="6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Borders>
              <w:right w:val="single" w:sz="8" w:color="2C2C2C"/>
            </w:tcBorders>
            <w:gridSpan w:val="3"/>
          </w:tcPr>
          <w:p>
            <w:pPr>
              <w:ind w:left="20"/>
              <w:spacing w:after="0" w:line="87" w:lineRule="exact"/>
              <w:rPr>
                <w:sz w:val="20"/>
                <w:szCs w:val="20"/>
                <w:color w:val="auto"/>
              </w:rPr>
            </w:pPr>
            <w:r>
              <w:rPr>
                <w:rFonts w:ascii="Times New Roman" w:cs="Times New Roman" w:eastAsia="Times New Roman" w:hAnsi="Times New Roman"/>
                <w:sz w:val="10"/>
                <w:szCs w:val="10"/>
                <w:color w:val="0000FF"/>
              </w:rPr>
              <w:t>Hu Tong</w:t>
            </w:r>
          </w:p>
        </w:tc>
        <w:tc>
          <w:tcPr>
            <w:tcW w:w="0" w:type="dxa"/>
            <w:vAlign w:val="bottom"/>
          </w:tcPr>
          <w:p>
            <w:pPr>
              <w:spacing w:after="0"/>
              <w:rPr>
                <w:sz w:val="1"/>
                <w:szCs w:val="1"/>
                <w:color w:val="auto"/>
              </w:rPr>
            </w:pPr>
          </w:p>
        </w:tc>
      </w:tr>
      <w:tr>
        <w:trPr>
          <w:trHeight w:val="120"/>
        </w:trPr>
        <w:tc>
          <w:tcPr>
            <w:tcW w:w="700" w:type="dxa"/>
            <w:vAlign w:val="bottom"/>
            <w:gridSpan w:val="3"/>
          </w:tcPr>
          <w:p>
            <w:pPr>
              <w:ind w:left="80"/>
              <w:spacing w:after="0" w:line="120" w:lineRule="exact"/>
              <w:rPr>
                <w:sz w:val="20"/>
                <w:szCs w:val="20"/>
                <w:color w:val="auto"/>
              </w:rPr>
            </w:pPr>
            <w:r>
              <w:rPr>
                <w:rFonts w:ascii="Times New Roman" w:cs="Times New Roman" w:eastAsia="Times New Roman" w:hAnsi="Times New Roman"/>
                <w:sz w:val="12"/>
                <w:szCs w:val="12"/>
                <w:color w:val="0000FF"/>
              </w:rPr>
              <w:t>(obligation</w:t>
            </w:r>
          </w:p>
        </w:tc>
        <w:tc>
          <w:tcPr>
            <w:tcW w:w="6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$0.05</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62"/>
        </w:trPr>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color w:val="0000FF"/>
              </w:rPr>
              <w:t>to sell)</w:t>
            </w: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7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per share</w:t>
            </w: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right w:val="single" w:sz="8" w:color="2C2C2C"/>
            </w:tcBorders>
            <w:gridSpan w:val="3"/>
            <w:vMerge w:val="restart"/>
          </w:tcPr>
          <w:p>
            <w:pPr>
              <w:ind w:left="20"/>
              <w:spacing w:after="0" w:line="219" w:lineRule="exact"/>
              <w:rPr>
                <w:sz w:val="20"/>
                <w:szCs w:val="20"/>
                <w:color w:val="auto"/>
              </w:rPr>
            </w:pPr>
            <w:r>
              <w:rPr>
                <w:rFonts w:ascii="Times New Roman" w:cs="Times New Roman" w:eastAsia="Times New Roman" w:hAnsi="Times New Roman"/>
                <w:sz w:val="24"/>
                <w:szCs w:val="24"/>
                <w:color w:val="0000FF"/>
                <w:w w:val="91"/>
                <w:vertAlign w:val="subscript"/>
              </w:rPr>
              <w:t>Limited</w:t>
            </w:r>
            <w:r>
              <w:rPr>
                <w:rFonts w:ascii="Times New Roman" w:cs="Times New Roman" w:eastAsia="Times New Roman" w:hAnsi="Times New Roman"/>
                <w:sz w:val="10"/>
                <w:szCs w:val="10"/>
                <w:color w:val="008000"/>
                <w:w w:val="91"/>
              </w:rPr>
              <w:t>(1)(2)(3)</w:t>
            </w:r>
          </w:p>
        </w:tc>
        <w:tc>
          <w:tcPr>
            <w:tcW w:w="0" w:type="dxa"/>
            <w:vAlign w:val="bottom"/>
          </w:tcPr>
          <w:p>
            <w:pPr>
              <w:spacing w:after="0"/>
              <w:rPr>
                <w:sz w:val="1"/>
                <w:szCs w:val="1"/>
                <w:color w:val="auto"/>
              </w:rPr>
            </w:pPr>
          </w:p>
        </w:tc>
      </w:tr>
      <w:tr>
        <w:trPr>
          <w:trHeight w:val="126"/>
        </w:trPr>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vMerge w:val="continue"/>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By Shan Lao</w:t>
            </w:r>
          </w:p>
        </w:tc>
        <w:tc>
          <w:tcPr>
            <w:tcW w:w="0" w:type="dxa"/>
            <w:vAlign w:val="bottom"/>
          </w:tcPr>
          <w:p>
            <w:pPr>
              <w:spacing w:after="0"/>
              <w:rPr>
                <w:sz w:val="1"/>
                <w:szCs w:val="1"/>
                <w:color w:val="auto"/>
              </w:rPr>
            </w:pPr>
          </w:p>
        </w:tc>
      </w:tr>
      <w:tr>
        <w:trPr>
          <w:trHeight w:val="134"/>
        </w:trPr>
        <w:tc>
          <w:tcPr>
            <w:tcW w:w="7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Ordinary</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right w:val="single" w:sz="8" w:color="2C2C2C"/>
            </w:tcBorders>
            <w:gridSpan w:val="3"/>
          </w:tcPr>
          <w:p>
            <w:pPr>
              <w:ind w:left="20"/>
              <w:spacing w:after="0" w:line="134" w:lineRule="exact"/>
              <w:rPr>
                <w:sz w:val="20"/>
                <w:szCs w:val="20"/>
                <w:color w:val="auto"/>
              </w:rPr>
            </w:pPr>
            <w:r>
              <w:rPr>
                <w:rFonts w:ascii="Times New Roman" w:cs="Times New Roman" w:eastAsia="Times New Roman" w:hAnsi="Times New Roman"/>
                <w:sz w:val="12"/>
                <w:szCs w:val="12"/>
                <w:color w:val="0000FF"/>
              </w:rPr>
              <w:t>Hu Tong LLC</w:t>
            </w:r>
          </w:p>
        </w:tc>
        <w:tc>
          <w:tcPr>
            <w:tcW w:w="0" w:type="dxa"/>
            <w:vAlign w:val="bottom"/>
          </w:tcPr>
          <w:p>
            <w:pPr>
              <w:spacing w:after="0"/>
              <w:rPr>
                <w:sz w:val="1"/>
                <w:szCs w:val="1"/>
                <w:color w:val="auto"/>
              </w:rPr>
            </w:pPr>
          </w:p>
        </w:tc>
      </w:tr>
      <w:tr>
        <w:trPr>
          <w:trHeight w:val="170"/>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2"/>
                <w:szCs w:val="12"/>
                <w:color w:val="0000FF"/>
              </w:rPr>
              <w:t>06/04/2026</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2"/>
                <w:szCs w:val="12"/>
                <w:color w:val="0000FF"/>
              </w:rPr>
              <w:t>M</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w w:val="97"/>
              </w:rPr>
              <w:t>243,008</w:t>
            </w:r>
          </w:p>
        </w:tc>
        <w:tc>
          <w:tcPr>
            <w:tcW w:w="740" w:type="dxa"/>
            <w:vAlign w:val="bottom"/>
          </w:tcPr>
          <w:p>
            <w:pPr>
              <w:jc w:val="center"/>
              <w:ind w:left="46"/>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w w:val="99"/>
              </w:rPr>
              <w:t>243,008</w:t>
            </w:r>
          </w:p>
        </w:tc>
        <w:tc>
          <w:tcPr>
            <w:tcW w:w="760" w:type="dxa"/>
            <w:vAlign w:val="bottom"/>
            <w:gridSpan w:val="2"/>
          </w:tcPr>
          <w:p>
            <w:pPr>
              <w:jc w:val="right"/>
              <w:ind w:right="264"/>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rPr>
              <w:t>6,865,674</w:t>
            </w:r>
          </w:p>
        </w:tc>
        <w:tc>
          <w:tcPr>
            <w:tcW w:w="620" w:type="dxa"/>
            <w:vAlign w:val="bottom"/>
            <w:vMerge w:val="restart"/>
          </w:tcPr>
          <w:p>
            <w:pPr>
              <w:jc w:val="center"/>
              <w:ind w:left="283"/>
              <w:spacing w:after="0"/>
              <w:rPr>
                <w:sz w:val="20"/>
                <w:szCs w:val="20"/>
                <w:color w:val="auto"/>
              </w:rPr>
            </w:pPr>
            <w:r>
              <w:rPr>
                <w:rFonts w:ascii="Times New Roman" w:cs="Times New Roman" w:eastAsia="Times New Roman" w:hAnsi="Times New Roman"/>
                <w:sz w:val="12"/>
                <w:szCs w:val="12"/>
                <w:color w:val="0000FF"/>
                <w:w w:val="98"/>
              </w:rPr>
              <w:t>I</w:t>
            </w:r>
          </w:p>
        </w:tc>
        <w:tc>
          <w:tcPr>
            <w:tcW w:w="240" w:type="dxa"/>
            <w:vAlign w:val="bottom"/>
          </w:tcPr>
          <w:p>
            <w:pPr>
              <w:spacing w:after="0"/>
              <w:rPr>
                <w:sz w:val="14"/>
                <w:szCs w:val="14"/>
                <w:color w:val="auto"/>
              </w:rPr>
            </w:pPr>
          </w:p>
        </w:tc>
        <w:tc>
          <w:tcPr>
            <w:tcW w:w="840" w:type="dxa"/>
            <w:vAlign w:val="bottom"/>
            <w:tcBorders>
              <w:right w:val="single" w:sz="8" w:color="2C2C2C"/>
            </w:tcBorders>
            <w:gridSpan w:val="3"/>
          </w:tcPr>
          <w:p>
            <w:pPr>
              <w:ind w:left="20"/>
              <w:spacing w:after="0"/>
              <w:rPr>
                <w:sz w:val="20"/>
                <w:szCs w:val="20"/>
                <w:color w:val="auto"/>
              </w:rPr>
            </w:pPr>
            <w:r>
              <w:rPr>
                <w:rFonts w:ascii="Times New Roman" w:cs="Times New Roman" w:eastAsia="Times New Roman" w:hAnsi="Times New Roman"/>
                <w:sz w:val="12"/>
                <w:szCs w:val="12"/>
                <w:color w:val="0000FF"/>
              </w:rPr>
              <w:t>and Ji Xiang</w:t>
            </w:r>
          </w:p>
        </w:tc>
        <w:tc>
          <w:tcPr>
            <w:tcW w:w="0" w:type="dxa"/>
            <w:vAlign w:val="bottom"/>
          </w:tcPr>
          <w:p>
            <w:pPr>
              <w:spacing w:after="0"/>
              <w:rPr>
                <w:sz w:val="1"/>
                <w:szCs w:val="1"/>
                <w:color w:val="auto"/>
              </w:rPr>
            </w:pPr>
          </w:p>
        </w:tc>
      </w:tr>
      <w:tr>
        <w:trPr>
          <w:trHeight w:val="97"/>
        </w:trPr>
        <w:tc>
          <w:tcPr>
            <w:tcW w:w="700" w:type="dxa"/>
            <w:vAlign w:val="bottom"/>
            <w:gridSpan w:val="3"/>
          </w:tcPr>
          <w:p>
            <w:pPr>
              <w:ind w:left="80"/>
              <w:spacing w:after="0" w:line="97" w:lineRule="exact"/>
              <w:rPr>
                <w:sz w:val="20"/>
                <w:szCs w:val="20"/>
                <w:color w:val="auto"/>
              </w:rPr>
            </w:pPr>
            <w:r>
              <w:rPr>
                <w:rFonts w:ascii="Times New Roman" w:cs="Times New Roman" w:eastAsia="Times New Roman" w:hAnsi="Times New Roman"/>
                <w:sz w:val="11"/>
                <w:szCs w:val="11"/>
                <w:color w:val="0000FF"/>
              </w:rPr>
              <w:t>par value</w:t>
            </w:r>
          </w:p>
        </w:tc>
        <w:tc>
          <w:tcPr>
            <w:tcW w:w="6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color w:val="0000FF"/>
              </w:rPr>
              <w:t>par value</w:t>
            </w:r>
          </w:p>
        </w:tc>
        <w:tc>
          <w:tcPr>
            <w:tcW w:w="6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right w:val="single" w:sz="8" w:color="2C2C2C"/>
            </w:tcBorders>
            <w:gridSpan w:val="3"/>
          </w:tcPr>
          <w:p>
            <w:pPr>
              <w:ind w:left="20"/>
              <w:spacing w:after="0" w:line="97" w:lineRule="exact"/>
              <w:rPr>
                <w:sz w:val="20"/>
                <w:szCs w:val="20"/>
                <w:color w:val="auto"/>
              </w:rPr>
            </w:pPr>
            <w:r>
              <w:rPr>
                <w:rFonts w:ascii="Times New Roman" w:cs="Times New Roman" w:eastAsia="Times New Roman" w:hAnsi="Times New Roman"/>
                <w:sz w:val="11"/>
                <w:szCs w:val="11"/>
                <w:color w:val="0000FF"/>
              </w:rPr>
              <w:t>Hu Tong</w:t>
            </w:r>
          </w:p>
        </w:tc>
        <w:tc>
          <w:tcPr>
            <w:tcW w:w="0" w:type="dxa"/>
            <w:vAlign w:val="bottom"/>
          </w:tcPr>
          <w:p>
            <w:pPr>
              <w:spacing w:after="0"/>
              <w:rPr>
                <w:sz w:val="1"/>
                <w:szCs w:val="1"/>
                <w:color w:val="auto"/>
              </w:rPr>
            </w:pPr>
          </w:p>
        </w:tc>
      </w:tr>
      <w:tr>
        <w:trPr>
          <w:trHeight w:val="134"/>
        </w:trPr>
        <w:tc>
          <w:tcPr>
            <w:tcW w:w="7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$0.05 per</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$0.05</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Borders>
              <w:right w:val="single" w:sz="8" w:color="2C2C2C"/>
            </w:tcBorders>
            <w:gridSpan w:val="3"/>
          </w:tcPr>
          <w:p>
            <w:pPr>
              <w:ind w:left="20"/>
              <w:spacing w:after="0" w:line="134" w:lineRule="exact"/>
              <w:rPr>
                <w:sz w:val="20"/>
                <w:szCs w:val="20"/>
                <w:color w:val="auto"/>
              </w:rPr>
            </w:pPr>
            <w:r>
              <w:rPr>
                <w:rFonts w:ascii="Times New Roman" w:cs="Times New Roman" w:eastAsia="Times New Roman" w:hAnsi="Times New Roman"/>
                <w:sz w:val="12"/>
                <w:szCs w:val="12"/>
                <w:color w:val="0000FF"/>
              </w:rPr>
              <w:t>Holdings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2"/>
                <w:szCs w:val="12"/>
                <w:color w:val="0000FF"/>
              </w:rPr>
              <w:t>share</w:t>
            </w:r>
          </w:p>
        </w:tc>
        <w:tc>
          <w:tcPr>
            <w:tcW w:w="640" w:type="dxa"/>
            <w:vAlign w:val="bottom"/>
            <w:tcBorders>
              <w:bottom w:val="single" w:sz="8" w:color="2C2C2C"/>
            </w:tcBorders>
          </w:tcPr>
          <w:p>
            <w:pPr>
              <w:spacing w:after="0"/>
              <w:rPr>
                <w:sz w:val="19"/>
                <w:szCs w:val="19"/>
                <w:color w:val="auto"/>
              </w:rPr>
            </w:pPr>
          </w:p>
        </w:tc>
        <w:tc>
          <w:tcPr>
            <w:tcW w:w="11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per share</w:t>
            </w:r>
          </w:p>
        </w:tc>
        <w:tc>
          <w:tcPr>
            <w:tcW w:w="6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right w:val="single" w:sz="8" w:color="2C2C2C"/>
            </w:tcBorders>
            <w:gridSpan w:val="3"/>
          </w:tcPr>
          <w:p>
            <w:pPr>
              <w:ind w:left="20"/>
              <w:spacing w:after="0" w:line="219" w:lineRule="exact"/>
              <w:rPr>
                <w:sz w:val="20"/>
                <w:szCs w:val="20"/>
                <w:color w:val="auto"/>
              </w:rPr>
            </w:pPr>
            <w:r>
              <w:rPr>
                <w:rFonts w:ascii="Times New Roman" w:cs="Times New Roman" w:eastAsia="Times New Roman" w:hAnsi="Times New Roman"/>
                <w:sz w:val="24"/>
                <w:szCs w:val="24"/>
                <w:color w:val="0000FF"/>
                <w:w w:val="91"/>
                <w:vertAlign w:val="subscript"/>
              </w:rPr>
              <w:t>Limited</w:t>
            </w:r>
            <w:r>
              <w:rPr>
                <w:rFonts w:ascii="Times New Roman" w:cs="Times New Roman" w:eastAsia="Times New Roman" w:hAnsi="Times New Roman"/>
                <w:sz w:val="10"/>
                <w:szCs w:val="10"/>
                <w:color w:val="008000"/>
                <w:w w:val="91"/>
              </w:rPr>
              <w:t>(1)(3)(8)</w:t>
            </w:r>
          </w:p>
        </w:tc>
        <w:tc>
          <w:tcPr>
            <w:tcW w:w="0" w:type="dxa"/>
            <w:vAlign w:val="bottom"/>
          </w:tcPr>
          <w:p>
            <w:pPr>
              <w:spacing w:after="0"/>
              <w:rPr>
                <w:sz w:val="1"/>
                <w:szCs w:val="1"/>
                <w:color w:val="auto"/>
              </w:rPr>
            </w:pPr>
          </w:p>
        </w:tc>
      </w:tr>
      <w:tr>
        <w:trPr>
          <w:trHeight w:val="170"/>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Ordinary</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Shares,</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center"/>
              <w:ind w:left="46"/>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Shares,</w:t>
            </w:r>
          </w:p>
        </w:tc>
        <w:tc>
          <w:tcPr>
            <w:tcW w:w="60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color w:val="0000FF"/>
                <w:w w:val="99"/>
              </w:rPr>
              <w:t>5,000</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vMerge w:val="restart"/>
          </w:tcPr>
          <w:p>
            <w:pPr>
              <w:jc w:val="center"/>
              <w:ind w:left="24"/>
              <w:spacing w:after="0"/>
              <w:rPr>
                <w:sz w:val="20"/>
                <w:szCs w:val="20"/>
                <w:color w:val="auto"/>
              </w:rPr>
            </w:pPr>
            <w:r>
              <w:rPr>
                <w:rFonts w:ascii="Times New Roman" w:cs="Times New Roman" w:eastAsia="Times New Roman" w:hAnsi="Times New Roman"/>
                <w:sz w:val="12"/>
                <w:szCs w:val="12"/>
                <w:color w:val="0000FF"/>
                <w:w w:val="96"/>
              </w:rPr>
              <w:t>5,000</w:t>
            </w:r>
          </w:p>
        </w:tc>
        <w:tc>
          <w:tcPr>
            <w:tcW w:w="620" w:type="dxa"/>
            <w:vAlign w:val="bottom"/>
            <w:vMerge w:val="restart"/>
          </w:tcPr>
          <w:p>
            <w:pPr>
              <w:jc w:val="center"/>
              <w:ind w:left="283"/>
              <w:spacing w:after="0" w:line="256" w:lineRule="exact"/>
              <w:rPr>
                <w:sz w:val="20"/>
                <w:szCs w:val="20"/>
                <w:color w:val="auto"/>
              </w:rPr>
            </w:pPr>
            <w:r>
              <w:rPr>
                <w:rFonts w:ascii="Times New Roman" w:cs="Times New Roman" w:eastAsia="Times New Roman" w:hAnsi="Times New Roman"/>
                <w:sz w:val="24"/>
                <w:szCs w:val="24"/>
                <w:color w:val="0000FF"/>
                <w:w w:val="85"/>
                <w:vertAlign w:val="subscript"/>
              </w:rPr>
              <w:t>D</w:t>
            </w:r>
            <w:r>
              <w:rPr>
                <w:rFonts w:ascii="Times New Roman" w:cs="Times New Roman" w:eastAsia="Times New Roman" w:hAnsi="Times New Roman"/>
                <w:sz w:val="10"/>
                <w:szCs w:val="10"/>
                <w:color w:val="008000"/>
                <w:w w:val="85"/>
              </w:rPr>
              <w:t>(3)</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par value</w:t>
            </w:r>
          </w:p>
        </w:tc>
        <w:tc>
          <w:tcPr>
            <w:tcW w:w="64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rPr>
              <w:t>par value</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00" w:type="dxa"/>
            <w:vAlign w:val="bottom"/>
            <w:gridSpan w:val="3"/>
          </w:tcPr>
          <w:p>
            <w:pPr>
              <w:ind w:left="80"/>
              <w:spacing w:after="0" w:line="134" w:lineRule="exact"/>
              <w:rPr>
                <w:sz w:val="20"/>
                <w:szCs w:val="20"/>
                <w:color w:val="auto"/>
              </w:rPr>
            </w:pPr>
            <w:r>
              <w:rPr>
                <w:rFonts w:ascii="Times New Roman" w:cs="Times New Roman" w:eastAsia="Times New Roman" w:hAnsi="Times New Roman"/>
                <w:sz w:val="12"/>
                <w:szCs w:val="12"/>
                <w:color w:val="0000FF"/>
              </w:rPr>
              <w:t>$0.05 per</w:t>
            </w: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color w:val="0000FF"/>
                <w:w w:val="96"/>
              </w:rPr>
              <w:t>$0.05</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0000FF"/>
              </w:rPr>
              <w:t>share</w:t>
            </w: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per share</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440" w:type="dxa"/>
            <w:vAlign w:val="bottom"/>
            <w:gridSpan w:val="5"/>
          </w:tcPr>
          <w:p>
            <w:pPr>
              <w:ind w:left="80"/>
              <w:spacing w:after="0" w:line="215"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600" w:type="dxa"/>
            <w:vAlign w:val="bottom"/>
            <w:gridSpan w:val="2"/>
          </w:tcPr>
          <w:p>
            <w:pPr>
              <w:spacing w:after="0" w:line="208"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Wu Lei</w:t>
              </w:r>
            </w:hyperlink>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(Last)</w:t>
            </w:r>
          </w:p>
        </w:tc>
        <w:tc>
          <w:tcPr>
            <w:tcW w:w="64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auto"/>
              </w:rPr>
              <w:t>(First)</w:t>
            </w:r>
          </w:p>
        </w:tc>
        <w:tc>
          <w:tcPr>
            <w:tcW w:w="1060" w:type="dxa"/>
            <w:vAlign w:val="bottom"/>
            <w:gridSpan w:val="3"/>
          </w:tcPr>
          <w:p>
            <w:pPr>
              <w:ind w:left="4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2"/>
                <w:szCs w:val="22"/>
                <w:color w:val="auto"/>
              </w:rPr>
            </w:pPr>
          </w:p>
        </w:tc>
        <w:tc>
          <w:tcPr>
            <w:tcW w:w="31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GIGACLOUD TECHNOLOGY INC</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3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4388 SHIRLEY AVENUE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700" w:type="dxa"/>
            <w:vAlign w:val="bottom"/>
            <w:gridSpan w:val="3"/>
          </w:tcPr>
          <w:p>
            <w:pPr>
              <w:ind w:left="8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EL MONTE</w:t>
            </w:r>
          </w:p>
        </w:tc>
        <w:tc>
          <w:tcPr>
            <w:tcW w:w="110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91731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00" w:type="dxa"/>
            <w:vAlign w:val="bottom"/>
          </w:tcPr>
          <w:p>
            <w:pPr>
              <w:ind w:left="160"/>
              <w:spacing w:after="0"/>
              <w:rPr>
                <w:sz w:val="20"/>
                <w:szCs w:val="20"/>
                <w:color w:val="auto"/>
              </w:rPr>
            </w:pPr>
            <w:r>
              <w:rPr>
                <w:rFonts w:ascii="Arial" w:cs="Arial" w:eastAsia="Arial" w:hAnsi="Arial"/>
                <w:sz w:val="12"/>
                <w:szCs w:val="12"/>
                <w:color w:val="auto"/>
              </w:rPr>
              <w:t>(State)</w:t>
            </w:r>
          </w:p>
        </w:tc>
        <w:tc>
          <w:tcPr>
            <w:tcW w:w="780" w:type="dxa"/>
            <w:vAlign w:val="bottom"/>
          </w:tcPr>
          <w:p>
            <w:pPr>
              <w:ind w:left="4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-4632325</wp:posOffset>
            </wp:positionV>
            <wp:extent cx="27940" cy="3053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940" cy="3053715"/>
                    </a:xfrm>
                    <a:prstGeom prst="rect">
                      <a:avLst/>
                    </a:prstGeom>
                    <a:noFill/>
                  </pic:spPr>
                </pic:pic>
              </a:graphicData>
            </a:graphic>
          </wp:anchor>
        </w:drawing>
      </w:r>
    </w:p>
    <w:p>
      <w:pPr>
        <w:spacing w:after="0" w:line="98"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2" w:right="359" w:bottom="0" w:gutter="0" w:footer="0" w:header="0"/>
          <w:type w:val="continuous"/>
        </w:sectPr>
      </w:pPr>
    </w:p>
    <w:p>
      <w:pPr>
        <w:ind w:left="100"/>
        <w:spacing w:after="0"/>
        <w:rPr>
          <w:rFonts w:ascii="Times New Roman" w:cs="Times New Roman" w:eastAsia="Times New Roman" w:hAnsi="Times New Roman"/>
          <w:sz w:val="19"/>
          <w:szCs w:val="19"/>
          <w:u w:val="single" w:color="auto"/>
          <w:color w:val="0000EE"/>
        </w:rPr>
      </w:pPr>
      <w:hyperlink r:id="rId17">
        <w:r>
          <w:rPr>
            <w:rFonts w:ascii="Times New Roman" w:cs="Times New Roman" w:eastAsia="Times New Roman" w:hAnsi="Times New Roman"/>
            <w:sz w:val="19"/>
            <w:szCs w:val="19"/>
            <w:u w:val="single" w:color="auto"/>
            <w:color w:val="0000EE"/>
          </w:rPr>
          <w:t>JI XIANG HU TONG HOLDINGS LTD</w:t>
        </w:r>
      </w:hyperlink>
    </w:p>
    <w:p>
      <w:pPr>
        <w:sectPr>
          <w:pgSz w:w="11900" w:h="16838" w:orient="portrait"/>
          <w:cols w:equalWidth="0" w:num="1">
            <w:col w:w="11080"/>
          </w:cols>
          <w:pgMar w:left="460" w:top="212"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(Last)</w:t>
            </w:r>
          </w:p>
        </w:tc>
        <w:tc>
          <w:tcPr>
            <w:tcW w:w="1640" w:type="dxa"/>
            <w:vAlign w:val="bottom"/>
            <w:gridSpan w:val="2"/>
          </w:tcPr>
          <w:p>
            <w:pPr>
              <w:ind w:left="30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3"/>
        </w:trPr>
        <w:tc>
          <w:tcPr>
            <w:tcW w:w="100" w:type="dxa"/>
            <w:vAlign w:val="bottom"/>
          </w:tcPr>
          <w:p>
            <w:pPr>
              <w:spacing w:after="0"/>
              <w:rPr>
                <w:sz w:val="22"/>
                <w:szCs w:val="22"/>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GIGACLOUD TECHNOLOGY INC</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100" w:type="dxa"/>
            <w:vAlign w:val="bottom"/>
          </w:tcPr>
          <w:p>
            <w:pPr>
              <w:spacing w:after="0"/>
              <w:rPr>
                <w:sz w:val="21"/>
                <w:szCs w:val="21"/>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4388 SHIRLEY AVENUE</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9"/>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5"/>
        </w:trPr>
        <w:tc>
          <w:tcPr>
            <w:tcW w:w="12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EL MONTE</w:t>
            </w: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91731</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(City)</w:t>
            </w:r>
          </w:p>
        </w:tc>
        <w:tc>
          <w:tcPr>
            <w:tcW w:w="1640" w:type="dxa"/>
            <w:vAlign w:val="bottom"/>
            <w:gridSpan w:val="2"/>
          </w:tcPr>
          <w:p>
            <w:pPr>
              <w:ind w:left="30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r>
        <w:trPr>
          <w:trHeight w:val="76"/>
        </w:trPr>
        <w:tc>
          <w:tcPr>
            <w:tcW w:w="100" w:type="dxa"/>
            <w:vAlign w:val="bottom"/>
            <w:tcBorders>
              <w:bottom w:val="single" w:sz="8" w:color="2C2C2C"/>
            </w:tcBorders>
          </w:tcPr>
          <w:p>
            <w:pPr>
              <w:spacing w:after="0"/>
              <w:rPr>
                <w:sz w:val="6"/>
                <w:szCs w:val="6"/>
                <w:color w:val="auto"/>
              </w:rPr>
            </w:pPr>
          </w:p>
        </w:tc>
        <w:tc>
          <w:tcPr>
            <w:tcW w:w="232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0"/>
        </w:trPr>
        <w:tc>
          <w:tcPr>
            <w:tcW w:w="2840" w:type="dxa"/>
            <w:vAlign w:val="bottom"/>
            <w:gridSpan w:val="4"/>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8"/>
        </w:trPr>
        <w:tc>
          <w:tcPr>
            <w:tcW w:w="100" w:type="dxa"/>
            <w:vAlign w:val="bottom"/>
          </w:tcPr>
          <w:p>
            <w:pPr>
              <w:spacing w:after="0"/>
              <w:rPr>
                <w:sz w:val="18"/>
                <w:szCs w:val="18"/>
                <w:color w:val="auto"/>
              </w:rPr>
            </w:pPr>
          </w:p>
        </w:tc>
        <w:tc>
          <w:tcPr>
            <w:tcW w:w="2740" w:type="dxa"/>
            <w:vAlign w:val="bottom"/>
            <w:gridSpan w:val="3"/>
          </w:tcPr>
          <w:p>
            <w:pPr>
              <w:spacing w:after="0" w:line="208"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SHAN LAO HU TONG LLC</w:t>
              </w:r>
            </w:hyperlink>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5"/>
        </w:trPr>
        <w:tc>
          <w:tcPr>
            <w:tcW w:w="100" w:type="dxa"/>
            <w:vAlign w:val="bottom"/>
          </w:tcPr>
          <w:p>
            <w:pPr>
              <w:spacing w:after="0"/>
              <w:rPr>
                <w:sz w:val="13"/>
                <w:szCs w:val="13"/>
                <w:color w:val="auto"/>
              </w:rPr>
            </w:pPr>
          </w:p>
        </w:tc>
        <w:tc>
          <w:tcPr>
            <w:tcW w:w="110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1"/>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(Last)</w:t>
            </w:r>
          </w:p>
        </w:tc>
        <w:tc>
          <w:tcPr>
            <w:tcW w:w="1640" w:type="dxa"/>
            <w:vAlign w:val="bottom"/>
            <w:gridSpan w:val="2"/>
          </w:tcPr>
          <w:p>
            <w:pPr>
              <w:ind w:left="30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(Middle)</w:t>
            </w:r>
          </w:p>
        </w:tc>
      </w:tr>
      <w:tr>
        <w:trPr>
          <w:trHeight w:val="253"/>
        </w:trPr>
        <w:tc>
          <w:tcPr>
            <w:tcW w:w="100" w:type="dxa"/>
            <w:vAlign w:val="bottom"/>
          </w:tcPr>
          <w:p>
            <w:pPr>
              <w:spacing w:after="0"/>
              <w:rPr>
                <w:sz w:val="22"/>
                <w:szCs w:val="22"/>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GIGACLOUD TECHNOLOGY INC</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100" w:type="dxa"/>
            <w:vAlign w:val="bottom"/>
          </w:tcPr>
          <w:p>
            <w:pPr>
              <w:spacing w:after="0"/>
              <w:rPr>
                <w:sz w:val="21"/>
                <w:szCs w:val="21"/>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4388 SHIRELY AVENUE</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9"/>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5"/>
        </w:trPr>
        <w:tc>
          <w:tcPr>
            <w:tcW w:w="120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rPr>
              <w:t>EL MONTE</w:t>
            </w: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91731</w:t>
            </w:r>
          </w:p>
        </w:tc>
        <w:tc>
          <w:tcPr>
            <w:tcW w:w="80" w:type="dxa"/>
            <w:vAlign w:val="bottom"/>
          </w:tcPr>
          <w:p>
            <w:pPr>
              <w:spacing w:after="0"/>
              <w:rPr>
                <w:sz w:val="18"/>
                <w:szCs w:val="18"/>
                <w:color w:val="auto"/>
              </w:rPr>
            </w:pPr>
          </w:p>
        </w:tc>
      </w:tr>
      <w:tr>
        <w:trPr>
          <w:trHeight w:val="139"/>
        </w:trPr>
        <w:tc>
          <w:tcPr>
            <w:tcW w:w="10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1"/>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(City)</w:t>
            </w:r>
          </w:p>
        </w:tc>
        <w:tc>
          <w:tcPr>
            <w:tcW w:w="1640" w:type="dxa"/>
            <w:vAlign w:val="bottom"/>
            <w:gridSpan w:val="2"/>
          </w:tcPr>
          <w:p>
            <w:pPr>
              <w:ind w:left="30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2814320" cy="2809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4320" cy="28092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100" w:hanging="6"/>
        <w:spacing w:after="0" w:line="268"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Lei Wu ("Mr. Wu") is the sole member and sole manager of a limited liability company, Shan Lao Hu Tong LLC, that is the sole shareholder of Ji Xiang Hu Tong Holdings Limited. As a result of these relationships, Mr. Wu may be deemed to be an indirect beneficial owner of the securities held by Ji Xiang Hu Tong Holdings Limited.</w:t>
      </w:r>
    </w:p>
    <w:p>
      <w:pPr>
        <w:spacing w:after="0" w:line="8"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Class A ordinary shares, par value of US$0.05 per share, of the Issuer ("Class A Ordinary Shares") directly held by Ji Xiang Hu Tong Holdings Limited.</w:t>
      </w:r>
    </w:p>
    <w:p>
      <w:pPr>
        <w:spacing w:after="0" w:line="44" w:lineRule="exact"/>
        <w:rPr>
          <w:rFonts w:ascii="Times New Roman" w:cs="Times New Roman" w:eastAsia="Times New Roman" w:hAnsi="Times New Roman"/>
          <w:sz w:val="12"/>
          <w:szCs w:val="12"/>
          <w:color w:val="008000"/>
        </w:rPr>
      </w:pPr>
    </w:p>
    <w:p>
      <w:pPr>
        <w:ind w:left="40" w:right="380" w:hanging="6"/>
        <w:spacing w:after="0" w:line="268"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report shall not be deemed an admission that any of the reporting persons is the beneficial owner of such securities for purposes of Section 16 of Securities Exchange Act of 1934, as amended, or for any other purpose.</w:t>
      </w:r>
    </w:p>
    <w:p>
      <w:pPr>
        <w:spacing w:after="0" w:line="8" w:lineRule="exact"/>
        <w:rPr>
          <w:rFonts w:ascii="Times New Roman" w:cs="Times New Roman" w:eastAsia="Times New Roman" w:hAnsi="Times New Roman"/>
          <w:sz w:val="12"/>
          <w:szCs w:val="12"/>
          <w:color w:val="008000"/>
        </w:rPr>
      </w:pPr>
    </w:p>
    <w:p>
      <w:pPr>
        <w:ind w:left="40" w:hanging="6"/>
        <w:spacing w:after="0" w:line="244"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June 4, 2026, the Reporting Person entered into a variable prepaid forward sale contract with an unaffiliated third party buyer. The contract obligates the Reporting Person to deliver to the buyer up to 243,008 shares of Class A Ordinary Shares (or, at the Reporting Person's election, an equivalent amount of cash based on the market price of Class A Ordinary Shares) on five maturity dates, including up to 26,950 shares on June 4, 2029, up to 70,000 shares on June 5, 2029, up to 70,000 shares on June 6, 2029, up to 70,000 shares on June 7, 2029, and up to 6,058 shares on June 8, 2029, respectively (the "Base Amount"). In exchange for assuming this obligation, the Reporting Person received a cash payment of $7,313,872 as of the date of entering into the contract.</w:t>
      </w:r>
    </w:p>
    <w:p>
      <w:pPr>
        <w:spacing w:after="0" w:line="22" w:lineRule="exact"/>
        <w:rPr>
          <w:rFonts w:ascii="Times New Roman" w:cs="Times New Roman" w:eastAsia="Times New Roman" w:hAnsi="Times New Roman"/>
          <w:sz w:val="12"/>
          <w:szCs w:val="12"/>
          <w:color w:val="008000"/>
        </w:rPr>
      </w:pPr>
    </w:p>
    <w:p>
      <w:pPr>
        <w:ind w:left="40" w:right="100" w:hanging="6"/>
        <w:spacing w:after="0" w:line="244"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The Reporting Person pledged 243,008 shares of Class A Ordinary Shares (the "Pledged Shares") to secure his obligations under the contract, and retained dividend and voting rights in the Pledged Shares during the term of the pledge. The number of shares of Class A Ordinary Shares to be delivered by the Reporting Person to the buyer on the maturity dates is to be generally determined as follows: (a) if the volume-weighted average closing price of the Class A Ordinary Shares on the relevant valuation date (the "Settlement Price") is less than $52.67 (the "Cap Price") but greater than $34.44 (the "Floor Price"), the Reporting Person will deliver to the buyer a number of shares of Class A Ordinary Shares equal to the Base Amount multiplied by a ratio equal to the Floor Price divided by the Settlement Price;</w:t>
      </w:r>
    </w:p>
    <w:p>
      <w:pPr>
        <w:spacing w:after="0" w:line="22" w:lineRule="exact"/>
        <w:rPr>
          <w:rFonts w:ascii="Times New Roman" w:cs="Times New Roman" w:eastAsia="Times New Roman" w:hAnsi="Times New Roman"/>
          <w:sz w:val="12"/>
          <w:szCs w:val="12"/>
          <w:color w:val="008000"/>
        </w:rPr>
      </w:pPr>
    </w:p>
    <w:p>
      <w:pPr>
        <w:ind w:left="40" w:right="20" w:hanging="6"/>
        <w:spacing w:after="0" w:line="250" w:lineRule="auto"/>
        <w:tabs>
          <w:tab w:leader="none" w:pos="162"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(b) if the Settlement Price is equal or greater than the Cap Price on a maturity date, the Reporting Person will deliver to the buyer a number of shares of Class A Ordinary Shares equal to the Base Amount multiplied by a ratio equal to a fraction with a numerator equal to the sum of (A) the Floor Price and (B) the excess, if any, of the Settlement Price over the Cap Price, and a denominator equal to the Settlement Price; and (c) if the Settlement Price is equal to or less than the Floor Price on a maturity date, the Reporting Person will deliver to the buyer a number of shares of Class A Ordinary Shares equal to the Base Amount.</w:t>
      </w:r>
    </w:p>
    <w:p>
      <w:pPr>
        <w:sectPr>
          <w:pgSz w:w="11900" w:h="16838" w:orient="portrait"/>
          <w:cols w:equalWidth="0" w:num="1">
            <w:col w:w="10900"/>
          </w:cols>
          <w:pgMar w:left="460" w:top="163" w:right="539" w:bottom="1440" w:gutter="0" w:footer="0" w:header="0"/>
        </w:sectPr>
      </w:pPr>
    </w:p>
    <w:p>
      <w:pPr>
        <w:spacing w:after="0" w:line="19" w:lineRule="exact"/>
        <w:rPr>
          <w:sz w:val="20"/>
          <w:szCs w:val="20"/>
          <w:color w:val="auto"/>
        </w:rPr>
      </w:pPr>
    </w:p>
    <w:p>
      <w:pPr>
        <w:ind w:left="160" w:hanging="126"/>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Ordinary Shares are convertible at any time at the option of the holder into an equal number of Class A Ordinary Shares at no cost.</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Class B ordinary shares, par value of US$0.05 per share, of the Issuer ("Class B Ordinary Shares") directly held by Ji Xiang Hu Tong Holdings Limited.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Lei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-7620</wp:posOffset>
            </wp:positionV>
            <wp:extent cx="4197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419735" cy="7620"/>
                    </a:xfrm>
                    <a:prstGeom prst="rect">
                      <a:avLst/>
                    </a:prstGeom>
                    <a:noFill/>
                  </pic:spPr>
                </pic:pic>
              </a:graphicData>
            </a:graphic>
          </wp:anchor>
        </w:drawing>
      </w:r>
    </w:p>
    <w:p>
      <w:pPr>
        <w:spacing w:after="0" w:line="3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Lei Wu, for Ji Xiang Hu Tong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0</wp:posOffset>
            </wp:positionV>
            <wp:extent cx="13277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Holdings Limited, By: Lei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566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5666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its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43243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432435" cy="762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Lei Wu, for Shan Lao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-7620</wp:posOffset>
            </wp:positionV>
            <wp:extent cx="11423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42365" cy="7620"/>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Tong LLC, By: Lei Wu,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12719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7190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-15240</wp:posOffset>
            </wp:positionV>
            <wp:extent cx="32893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32893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572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57200"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572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57200"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45720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57200" cy="762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8680" w:space="120"/>
            <w:col w:w="2100"/>
          </w:cols>
          <w:pgMar w:left="460" w:top="163" w:right="539" w:bottom="144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1"/>
          <w:szCs w:val="11"/>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840" w:hanging="6"/>
        <w:spacing w:after="0" w:line="317" w:lineRule="auto"/>
        <w:tabs>
          <w:tab w:leader="none" w:pos="168"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60" w:top="163"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3" Type="http://schemas.openxmlformats.org/officeDocument/2006/relationships/hyperlink" Target="http://www.sec.gov/cgi-bin/browse-edgar?action=getcompany&amp;CIK=0001962329" TargetMode="External"/><Relationship Id="rId14" Type="http://schemas.openxmlformats.org/officeDocument/2006/relationships/hyperlink" Target="http://www.sec.gov/cgi-bin/browse-edgar?action=getcompany&amp;CIK=0001857816" TargetMode="External"/><Relationship Id="rId17" Type="http://schemas.openxmlformats.org/officeDocument/2006/relationships/hyperlink" Target="http://www.sec.gov/cgi-bin/browse-edgar?action=getcompany&amp;CIK=0002004302" TargetMode="External"/><Relationship Id="rId18" Type="http://schemas.openxmlformats.org/officeDocument/2006/relationships/hyperlink" Target="http://www.sec.gov/cgi-bin/browse-edgar?action=getcompany&amp;CIK=000200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2026-06-08T20:10:50Z</dcterms:created>
  <dcterms:modified xsi:type="dcterms:W3CDTF">2026-06-08T20:10:50Z</dcterms:modified>
</cp:coreProperties>
</file>