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240" w:after="283"/>
        <w:jc w:val="center"/>
        <w:rPr>
          <w:rFonts w:ascii="Times New Roman;serif" w:hAnsi="Times New Roman;serif"/>
          <w:b/>
          <w:color w:val="000000"/>
          <w:sz w:val="36"/>
        </w:rPr>
      </w:pPr>
      <w:r>
        <w:rPr>
          <w:rFonts w:ascii="Times New Roman;serif" w:hAnsi="Times New Roman;serif"/>
          <w:b/>
          <w:color w:val="000000"/>
          <w:sz w:val="36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6"/>
        </w:rPr>
      </w:pPr>
      <w:r>
        <w:rPr>
          <w:rFonts w:ascii="Times New Roman;serif" w:hAnsi="Times New Roman;serif"/>
          <w:b/>
          <w:color w:val="000000"/>
          <w:sz w:val="36"/>
        </w:rPr>
        <w:t>SECURITIES AND EXCHANGE COMMISSION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WASHINGTON, D.C. 20549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4"/>
        </w:rPr>
      </w:pPr>
      <w:r>
        <w:rPr>
          <w:rFonts w:ascii="Times New Roman;serif" w:hAnsi="Times New Roman;serif"/>
          <w:b w:val="false"/>
          <w:color w:val="000000"/>
          <w:sz w:val="24"/>
        </w:rPr>
        <w:t>___________________________________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6"/>
        </w:rPr>
      </w:pPr>
      <w:r>
        <w:rPr>
          <w:rFonts w:ascii="Times New Roman;serif" w:hAnsi="Times New Roman;serif"/>
          <w:b/>
          <w:color w:val="000000"/>
          <w:sz w:val="36"/>
        </w:rPr>
        <w:t>SCHEDULE 14A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Proxy Statement Pursuant to Section 14(a) of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the Securities Exchange Act of 1934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4"/>
        </w:rPr>
      </w:pPr>
      <w:r>
        <w:rPr>
          <w:rFonts w:ascii="Times New Roman;serif" w:hAnsi="Times New Roman;serif"/>
          <w:b w:val="false"/>
          <w:color w:val="000000"/>
          <w:sz w:val="24"/>
        </w:rPr>
        <w:t>___________________________________</w:t>
      </w:r>
    </w:p>
    <w:p>
      <w:pPr>
        <w:pStyle w:val="TextBody"/>
        <w:bidi w:val="0"/>
        <w:spacing w:lineRule="auto" w:line="288" w:before="0" w:after="0"/>
        <w:jc w:val="left"/>
        <w:rPr/>
      </w:pPr>
      <w:r>
        <w:rPr>
          <w:rFonts w:ascii="Times New Roman;serif" w:hAnsi="Times New Roman;serif"/>
          <w:b w:val="false"/>
          <w:color w:val="000000"/>
          <w:sz w:val="24"/>
        </w:rPr>
        <w:t>Filed by the Registrant </w:t>
      </w:r>
      <w:r>
        <w:rPr>
          <w:color w:val="000000"/>
        </w:rPr>
        <w:t xml:space="preserve">  </w:t>
      </w:r>
      <w:r>
        <w:rPr>
          <w:rFonts w:ascii="Wingdings;sans-serif" w:hAnsi="Wingdings;sans-serif"/>
          <w:b w:val="false"/>
          <w:color w:val="000000"/>
          <w:sz w:val="24"/>
        </w:rPr>
        <w:t>x</w:t>
      </w:r>
    </w:p>
    <w:p>
      <w:pPr>
        <w:pStyle w:val="TextBody"/>
        <w:bidi w:val="0"/>
        <w:spacing w:lineRule="auto" w:line="288" w:before="0" w:after="0"/>
        <w:jc w:val="left"/>
        <w:rPr/>
      </w:pPr>
      <w:r>
        <w:rPr>
          <w:rFonts w:ascii="Times New Roman;serif" w:hAnsi="Times New Roman;serif"/>
          <w:b w:val="false"/>
          <w:color w:val="000000"/>
          <w:sz w:val="24"/>
        </w:rPr>
        <w:t>Filed by a Party other than the Registrant</w:t>
      </w:r>
      <w:r>
        <w:rPr>
          <w:color w:val="000000"/>
        </w:rPr>
        <w:t>  </w:t>
      </w:r>
      <w:r>
        <w:rPr>
          <w:rFonts w:ascii="Wingdings;sans-serif" w:hAnsi="Wingdings;sans-serif"/>
          <w:b w:val="false"/>
          <w:color w:val="000000"/>
          <w:sz w:val="24"/>
        </w:rPr>
        <w:t>o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4"/>
        </w:rPr>
      </w:pPr>
      <w:r>
        <w:rPr>
          <w:rFonts w:ascii="Times New Roman;serif" w:hAnsi="Times New Roman;serif"/>
          <w:b w:val="false"/>
          <w:color w:val="000000"/>
          <w:sz w:val="24"/>
        </w:rPr>
        <w:t>Check the appropriate box:</w:t>
      </w:r>
    </w:p>
    <w:tbl>
      <w:tblPr>
        <w:tblW w:w="716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999"/>
        <w:gridCol w:w="1999"/>
        <w:gridCol w:w="2826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x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Soliciting Material Pursuant to §240.14a-12</w:t>
            </w:r>
          </w:p>
        </w:tc>
      </w:tr>
    </w:tbl>
    <w:p>
      <w:pPr>
        <w:pStyle w:val="TextBody"/>
        <w:bidi w:val="0"/>
        <w:spacing w:lineRule="auto" w:line="288" w:before="480" w:after="283"/>
        <w:jc w:val="center"/>
        <w:rPr>
          <w:rFonts w:ascii="Times New Roman;serif" w:hAnsi="Times New Roman;serif"/>
          <w:b/>
          <w:color w:val="000000"/>
          <w:sz w:val="36"/>
        </w:rPr>
      </w:pPr>
      <w:r>
        <w:rPr>
          <w:rFonts w:ascii="Times New Roman;serif" w:hAnsi="Times New Roman;serif"/>
          <w:b/>
          <w:color w:val="000000"/>
          <w:sz w:val="36"/>
        </w:rPr>
        <w:t>GIGACLOUD TECHNOLOGY INC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4"/>
        </w:rPr>
      </w:pPr>
      <w:r>
        <w:rPr>
          <w:rFonts w:ascii="Times New Roman;serif" w:hAnsi="Times New Roman;serif"/>
          <w:b w:val="false"/>
          <w:color w:val="000000"/>
          <w:sz w:val="24"/>
        </w:rPr>
        <w:t>__________________________________________________________________________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4"/>
        </w:rPr>
      </w:pPr>
      <w:r>
        <w:rPr>
          <w:rFonts w:ascii="Times New Roman;serif" w:hAnsi="Times New Roman;serif"/>
          <w:b w:val="false"/>
          <w:color w:val="000000"/>
          <w:sz w:val="24"/>
        </w:rPr>
        <w:t>(Name of Registrant as Specified In Its Charter)</w:t>
      </w:r>
    </w:p>
    <w:p>
      <w:pPr>
        <w:pStyle w:val="TextBody"/>
        <w:bidi w:val="0"/>
        <w:spacing w:lineRule="auto" w:line="288" w:before="200" w:after="283"/>
        <w:jc w:val="center"/>
        <w:rPr>
          <w:rFonts w:ascii="Times New Roman;serif" w:hAnsi="Times New Roman;serif"/>
          <w:b w:val="false"/>
          <w:color w:val="000000"/>
          <w:sz w:val="24"/>
        </w:rPr>
      </w:pPr>
      <w:r>
        <w:rPr>
          <w:rFonts w:ascii="Times New Roman;serif" w:hAnsi="Times New Roman;serif"/>
          <w:b w:val="false"/>
          <w:color w:val="000000"/>
          <w:sz w:val="24"/>
        </w:rPr>
        <w:t>__________________________________________________________________________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4"/>
        </w:rPr>
      </w:pPr>
      <w:r>
        <w:rPr>
          <w:rFonts w:ascii="Times New Roman;serif" w:hAnsi="Times New Roman;serif"/>
          <w:b w:val="false"/>
          <w:color w:val="000000"/>
          <w:sz w:val="24"/>
        </w:rPr>
        <w:t>(Name of Person(s) Filing Proxy Statement, if other than the Registrant)</w:t>
      </w:r>
    </w:p>
    <w:p>
      <w:pPr>
        <w:pStyle w:val="TextBody"/>
        <w:bidi w:val="0"/>
        <w:spacing w:lineRule="auto" w:line="288" w:before="800" w:after="283"/>
        <w:jc w:val="left"/>
        <w:rPr>
          <w:rFonts w:ascii="Times New Roman;serif" w:hAnsi="Times New Roman;serif"/>
          <w:b w:val="false"/>
          <w:color w:val="000000"/>
          <w:sz w:val="24"/>
        </w:rPr>
      </w:pPr>
      <w:r>
        <w:rPr>
          <w:rFonts w:ascii="Times New Roman;serif" w:hAnsi="Times New Roman;serif"/>
          <w:b w:val="false"/>
          <w:color w:val="000000"/>
          <w:sz w:val="24"/>
        </w:rPr>
        <w:t>Payment of Filing Fee (Check the appropriate box):</w:t>
      </w:r>
    </w:p>
    <w:tbl>
      <w:tblPr>
        <w:tblW w:w="917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2488"/>
        <w:gridCol w:w="2488"/>
        <w:gridCol w:w="3528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x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computed on table in exhibit required by Item 25(b) per Exchange Act Rules 14a–6(i)(1) and 0–11.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5829300" cy="7543800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5829300" cy="7543800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Wingdings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138</Words>
  <Characters>941</Characters>
  <CharactersWithSpaces>1047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