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10.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7"/>
        <w:gridCol w:w="2877"/>
        <w:gridCol w:w="407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ANNUAL REPORT PURSUANT TO SECTION 13 OR 15(d) OF THE SECURITIES EXCHANGE ACT OF 1934 </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001-41454</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tbl>
      <w:tblPr>
        <w:tblW w:w="7811" w:type="dxa"/>
        <w:jc w:val="center"/>
        <w:tblInd w:w="0" w:type="dxa"/>
        <w:tblLayout w:type="fixed"/>
        <w:tblCellMar>
          <w:top w:w="28" w:type="dxa"/>
          <w:left w:w="28" w:type="dxa"/>
          <w:bottom w:w="28" w:type="dxa"/>
          <w:right w:w="28" w:type="dxa"/>
        </w:tblCellMar>
      </w:tblPr>
      <w:tblGrid>
        <w:gridCol w:w="1714"/>
        <w:gridCol w:w="1510"/>
        <w:gridCol w:w="1516"/>
        <w:gridCol w:w="109"/>
        <w:gridCol w:w="109"/>
        <w:gridCol w:w="109"/>
        <w:gridCol w:w="801"/>
        <w:gridCol w:w="801"/>
        <w:gridCol w:w="1142"/>
      </w:tblGrid>
      <w:tr>
        <w:trPr/>
        <w:tc>
          <w:tcPr>
            <w:tcW w:w="171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00-0000000</w:t>
            </w:r>
          </w:p>
        </w:tc>
      </w:tr>
      <w:tr>
        <w:trPr/>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240" w:after="283"/>
        <w:jc w:val="center"/>
        <w:rPr/>
      </w:pPr>
      <w:r>
        <w:rPr>
          <w:rFonts w:ascii="Times New Roman;sans-serif" w:hAnsi="Times New Roman;sans-serif"/>
          <w:b/>
          <w:color w:val="000000"/>
          <w:sz w:val="20"/>
        </w:rPr>
        <w:t>4388 Shirley Avenue, El Monte, CA,</w:t>
      </w:r>
      <w:r>
        <w:rPr>
          <w:color w:val="000000"/>
        </w:rPr>
        <w:t xml:space="preserve"> </w:t>
      </w:r>
      <w:r>
        <w:rPr>
          <w:rFonts w:ascii="Times New Roman;sans-serif" w:hAnsi="Times New Roman;sans-serif"/>
          <w:b/>
          <w:color w:val="000000"/>
          <w:sz w:val="20"/>
        </w:rPr>
        <w:t>91731, 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1-626-912-8886</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pPr>
      <w:r>
        <w:rPr>
          <w:rFonts w:ascii="Times New Roman;sans-serif" w:hAnsi="Times New Roman;sans-serif"/>
          <w:b/>
          <w:color w:val="000000"/>
          <w:sz w:val="20"/>
        </w:rPr>
        <w:t>Securities registered pursuant to Section 12(b) of the Act:</w:t>
      </w:r>
      <w:r>
        <w:rPr>
          <w:color w:val="000000"/>
        </w:rPr>
        <w:t xml:space="preserve"> </w:t>
      </w:r>
    </w:p>
    <w:tbl>
      <w:tblPr>
        <w:tblW w:w="8529" w:type="dxa"/>
        <w:jc w:val="left"/>
        <w:tblInd w:w="0" w:type="dxa"/>
        <w:tblLayout w:type="fixed"/>
        <w:tblCellMar>
          <w:top w:w="28" w:type="dxa"/>
          <w:left w:w="28" w:type="dxa"/>
          <w:bottom w:w="28" w:type="dxa"/>
          <w:right w:w="28" w:type="dxa"/>
        </w:tblCellMar>
      </w:tblPr>
      <w:tblGrid>
        <w:gridCol w:w="1586"/>
        <w:gridCol w:w="1400"/>
        <w:gridCol w:w="1409"/>
        <w:gridCol w:w="109"/>
        <w:gridCol w:w="109"/>
        <w:gridCol w:w="109"/>
        <w:gridCol w:w="230"/>
        <w:gridCol w:w="230"/>
        <w:gridCol w:w="231"/>
        <w:gridCol w:w="109"/>
        <w:gridCol w:w="109"/>
        <w:gridCol w:w="109"/>
        <w:gridCol w:w="816"/>
        <w:gridCol w:w="816"/>
        <w:gridCol w:w="1157"/>
      </w:tblGrid>
      <w:tr>
        <w:trPr/>
        <w:tc>
          <w:tcPr>
            <w:tcW w:w="158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 ordinary shares, par value $0.05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12(g) of the Act: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None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(Title of Class) </w:t>
      </w:r>
    </w:p>
    <w:p>
      <w:pPr>
        <w:pStyle w:val="TextBody"/>
        <w:bidi w:val="0"/>
        <w:spacing w:before="240" w:after="283"/>
        <w:jc w:val="center"/>
        <w:rPr/>
      </w:pPr>
      <w:r>
        <w:rPr/>
      </w:r>
    </w:p>
    <w:p>
      <w:pPr>
        <w:pStyle w:val="TextBody"/>
        <w:bidi w:val="0"/>
        <w:spacing w:lineRule="auto" w:line="288" w:before="240" w:after="283"/>
        <w:ind w:left="0" w:right="0" w:firstLine="49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w:t>
      </w:r>
      <w:r>
        <w:rPr>
          <w:color w:val="000000"/>
        </w:rPr>
        <w:t xml:space="preserve"> </w:t>
      </w:r>
      <w:r>
        <w:rPr>
          <w:rFonts w:ascii="Times New Roman;sans-serif" w:hAnsi="Times New Roman;sans-serif"/>
          <w:b w:val="false"/>
          <w:color w:val="000000"/>
          <w:sz w:val="20"/>
        </w:rPr>
        <w:t>or an emerging growth company. See definition of “large accelerated filer,” “accelerated filer,” “smaller reporting company,”</w:t>
      </w:r>
      <w:r>
        <w:rPr>
          <w:color w:val="000000"/>
        </w:rPr>
        <w:t xml:space="preserve"> </w:t>
      </w:r>
      <w:r>
        <w:rPr>
          <w:rFonts w:ascii="Times New Roman;sans-serif" w:hAnsi="Times New Roman;sans-serif"/>
          <w:b w:val="false"/>
          <w:color w:val="000000"/>
          <w:sz w:val="20"/>
        </w:rPr>
        <w:t xml:space="preserve">and “emerging growth company” in Rule 12b-2 of the Exchange Act. </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49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o</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before="0" w:after="0"/>
        <w:ind w:left="0" w:right="0" w:firstLine="49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r>
        <w:rPr>
          <w:color w:val="000000"/>
        </w:rPr>
        <w:t xml:space="preserv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As of June 30, 2023, the last business day of the registrant’s most recently completed second fiscal quarter, the aggregate market value of the registrant’s ordinary shares held by non-affiliates of the registrant was approximately $143.2 million, based on the closing price of the registrant’s Class A ordinary shares on the Nasdaq Global Market on June 30, 2023 of $6.76 per share.</w:t>
      </w:r>
      <w:r>
        <w:rPr>
          <w:color w:val="000000"/>
        </w:rPr>
        <w:t xml:space="preserve"> </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ONLY TO REGISTRANTS INVOLVED IN BANKRUPTCY PROCEEDINGS DURING THE PAST FIVE YEARS) </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rPr>
        <w:t>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before="0" w:after="0"/>
        <w:ind w:left="0" w:right="0" w:firstLine="490"/>
        <w:jc w:val="center"/>
        <w:rPr/>
      </w:pPr>
      <w:r>
        <w:rPr/>
      </w:r>
    </w:p>
    <w:p>
      <w:pPr>
        <w:pStyle w:val="TextBody"/>
        <w:bidi w:val="0"/>
        <w:spacing w:lineRule="auto" w:line="288" w:before="0" w:after="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(APPLICABLE ONLY TO CORPORATE REGISTRANTS)</w:t>
      </w:r>
    </w:p>
    <w:p>
      <w:pPr>
        <w:pStyle w:val="TextBody"/>
        <w:bidi w:val="0"/>
        <w:spacing w:lineRule="auto" w:line="28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shares outstanding of each of the registrant’s classes of common stock, as of the latest practicable date.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ans-serif" w:hAnsi="Times New Roman;sans-serif"/>
          <w:b w:val="false"/>
          <w:color w:val="000000"/>
          <w:sz w:val="20"/>
        </w:rPr>
        <w:t>The number of outstanding shares of the registrant’s ordinary shares as of February 29, 2024 was 40,797,424, consisting of 31,470,692 Class A ordinary shares, par value $0.05 per share, issued and outstanding (which had excluded an aggregate of 67,559 Class A ordinary shares issued and reserved for future allocation upon exercise or vesting of awards granted under our share incentive plans; and 215,201 Class A ordinary shares issued and repurchased but not yet cancelled)</w:t>
      </w:r>
      <w:r>
        <w:rPr>
          <w:color w:val="000000"/>
        </w:rPr>
        <w:t xml:space="preserve"> </w:t>
      </w:r>
      <w:r>
        <w:rPr>
          <w:rFonts w:ascii="Times New Roman;sans-serif" w:hAnsi="Times New Roman;sans-serif"/>
          <w:b w:val="false"/>
          <w:color w:val="000000"/>
          <w:sz w:val="20"/>
        </w:rPr>
        <w:t>and 9,326,732 Class B ordinary shares, par value $0.05 per share, issued and outstanding.</w:t>
      </w:r>
    </w:p>
    <w:p>
      <w:pPr>
        <w:pStyle w:val="TextBody"/>
        <w:bidi w:val="0"/>
        <w:spacing w:before="0" w:after="0"/>
        <w:ind w:left="0" w:right="0" w:firstLine="49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bidi w:val="0"/>
        <w:spacing w:before="0" w:after="0"/>
        <w:ind w:left="0" w:right="0" w:firstLine="490"/>
        <w:jc w:val="left"/>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the Registrant’s proxy statement to be filed with the Securities and Exchange Commission, or the SEC, pursuant to Regulation 14A in connection with the registrant’s 2024 Annual Meeting of Shareholders, which will be filed subsequent to the date hereof, are incorporated by reference into Part III of this annual report on Form 10-K, or this annual report. Such proxy statement will be filed with the SEC not later than 120 days following the end of the registrant’s fiscal year ended December 31, 2023 to which this annual report relates.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 — ANNUAL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3"/>
        <w:gridCol w:w="310"/>
        <w:gridCol w:w="313"/>
        <w:gridCol w:w="2925"/>
        <w:gridCol w:w="2911"/>
        <w:gridCol w:w="2926"/>
        <w:gridCol w:w="136"/>
        <w:gridCol w:w="136"/>
        <w:gridCol w:w="19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28">
              <w:r>
                <w:rPr>
                  <w:rStyle w:val="InternetLink"/>
                  <w:rFonts w:ascii="Times New Roman;sans-serif" w:hAnsi="Times New Roman;sans-serif"/>
                  <w:b w:val="false"/>
                  <w:color w:val="0000FF"/>
                  <w:sz w:val="20"/>
                  <w:u w:val="single"/>
                </w:rPr>
                <w:t xml:space="preserve">PART I </w:t>
              </w:r>
            </w:hyperlink>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28">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29">
              <w:r>
                <w:rPr>
                  <w:rStyle w:val="InternetLink"/>
                  <w:rFonts w:ascii="Times New Roman;sans-serif" w:hAnsi="Times New Roman;sans-serif"/>
                  <w:b w:val="false"/>
                  <w:strike w:val="false"/>
                  <w:dstrike w:val="false"/>
                  <w:color w:val="000000"/>
                  <w:sz w:val="20"/>
                  <w:u w:val="none"/>
                  <w:effect w:val="none"/>
                </w:rPr>
                <w:t>Item 1.</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29">
              <w:r>
                <w:rPr>
                  <w:rStyle w:val="InternetLink"/>
                  <w:rFonts w:ascii="Times New Roman;sans-serif" w:hAnsi="Times New Roman;sans-serif"/>
                  <w:b w:val="false"/>
                  <w:color w:val="000080"/>
                  <w:sz w:val="20"/>
                  <w:u w:val="single"/>
                </w:rPr>
                <w:t>B</w:t>
              </w:r>
            </w:hyperlink>
            <w:hyperlink w:anchor="i7d9e1b40a3474abdb3b40585aed3562e_529">
              <w:r>
                <w:rPr>
                  <w:rStyle w:val="InternetLink"/>
                  <w:rFonts w:ascii="Times New Roman;sans-serif" w:hAnsi="Times New Roman;sans-serif"/>
                  <w:b w:val="false"/>
                  <w:color w:val="000080"/>
                  <w:sz w:val="20"/>
                  <w:u w:val="single"/>
                </w:rPr>
                <w:t>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29">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19">
              <w:r>
                <w:rPr>
                  <w:rStyle w:val="InternetLink"/>
                  <w:rFonts w:ascii="Times New Roman;sans-serif" w:hAnsi="Times New Roman;sans-serif"/>
                  <w:b w:val="false"/>
                  <w:color w:val="000080"/>
                  <w:sz w:val="20"/>
                  <w:u w:val="single"/>
                </w:rPr>
                <w:t>R</w:t>
              </w:r>
            </w:hyperlink>
            <w:hyperlink w:anchor="i7d9e1b40a3474abdb3b40585aed3562e_519">
              <w:r>
                <w:rPr>
                  <w:rStyle w:val="InternetLink"/>
                  <w:rFonts w:ascii="Times New Roman;sans-serif" w:hAnsi="Times New Roman;sans-serif"/>
                  <w:b w:val="false"/>
                  <w:color w:val="000080"/>
                  <w:sz w:val="20"/>
                  <w:u w:val="single"/>
                </w:rPr>
                <w:t>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19">
              <w:r>
                <w:rPr>
                  <w:rStyle w:val="InternetLink"/>
                  <w:rFonts w:ascii="Times New Roman;sans-serif" w:hAnsi="Times New Roman;sans-serif"/>
                  <w:b w:val="false"/>
                  <w:strike w:val="false"/>
                  <w:dstrike w:val="false"/>
                  <w:color w:val="000000"/>
                  <w:sz w:val="20"/>
                  <w:u w:val="none"/>
                  <w:effect w:val="none"/>
                </w:rPr>
                <w:t>22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31">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1B.</w:t>
            </w:r>
          </w:p>
        </w:tc>
        <w:tc>
          <w:tcPr>
            <w:tcW w:w="8762" w:type="dxa"/>
            <w:gridSpan w:val="3"/>
            <w:tcBorders/>
            <w:tcMar>
              <w:top w:w="0" w:type="dxa"/>
              <w:left w:w="0" w:type="dxa"/>
              <w:bottom w:w="0" w:type="dxa"/>
              <w:right w:w="0" w:type="dxa"/>
            </w:tcMar>
            <w:vAlign w:val="center"/>
          </w:tcPr>
          <w:p>
            <w:pPr>
              <w:pStyle w:val="TableContents"/>
              <w:bidi w:val="0"/>
              <w:spacing w:lineRule="auto" w:line="288" w:before="360" w:after="283"/>
              <w:jc w:val="left"/>
              <w:rPr/>
            </w:pPr>
            <w:hyperlink w:anchor="i7d9e1b40a3474abdb3b40585aed3562e_31">
              <w:r>
                <w:rPr>
                  <w:rStyle w:val="InternetLink"/>
                  <w:rFonts w:ascii="Times New Roman;sans-serif" w:hAnsi="Times New Roman;sans-serif"/>
                  <w:b w:val="false"/>
                  <w:color w:val="0000FF"/>
                  <w:sz w:val="20"/>
                  <w:u w:val="single"/>
                </w:rPr>
                <w:t>Unresolved Staff Comments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31">
              <w:r>
                <w:rPr>
                  <w:rStyle w:val="InternetLink"/>
                  <w:rFonts w:ascii="Times New Roman;sans-serif" w:hAnsi="Times New Roman;sans-serif"/>
                  <w:b w:val="false"/>
                  <w:strike w:val="false"/>
                  <w:dstrike w:val="false"/>
                  <w:color w:val="000000"/>
                  <w:sz w:val="20"/>
                  <w:u w:val="none"/>
                  <w:effect w:val="none"/>
                </w:rPr>
                <w:t>66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50">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550">
              <w:r>
                <w:rPr>
                  <w:rStyle w:val="InternetLink"/>
                  <w:rFonts w:ascii="Times New Roman;sans-serif" w:hAnsi="Times New Roman;sans-serif"/>
                  <w:b w:val="false"/>
                  <w:strike w:val="false"/>
                  <w:dstrike w:val="false"/>
                  <w:color w:val="000080"/>
                  <w:sz w:val="20"/>
                  <w:u w:val="single"/>
                  <w:effect w:val="none"/>
                </w:rPr>
                <w:t>1C</w:t>
              </w:r>
            </w:hyperlink>
            <w:hyperlink w:anchor="i7d9e1b40a3474abdb3b40585aed3562e_550">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50">
              <w:r>
                <w:rPr>
                  <w:rStyle w:val="InternetLink"/>
                  <w:rFonts w:ascii="Times New Roman;sans-serif" w:hAnsi="Times New Roman;sans-serif"/>
                  <w:b w:val="false"/>
                  <w:color w:val="000080"/>
                  <w:sz w:val="20"/>
                  <w:u w:val="single"/>
                </w:rPr>
                <w:t>C</w:t>
              </w:r>
            </w:hyperlink>
            <w:hyperlink w:anchor="i7d9e1b40a3474abdb3b40585aed3562e_550">
              <w:r>
                <w:rPr>
                  <w:rStyle w:val="InternetLink"/>
                  <w:rFonts w:ascii="Times New Roman;sans-serif" w:hAnsi="Times New Roman;sans-serif"/>
                  <w:b w:val="false"/>
                  <w:color w:val="000080"/>
                  <w:sz w:val="20"/>
                  <w:u w:val="single"/>
                </w:rPr>
                <w:t>ybersecurity</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50">
              <w:r>
                <w:rPr>
                  <w:rStyle w:val="InternetLink"/>
                  <w:rFonts w:ascii="Times New Roman;sans-serif" w:hAnsi="Times New Roman;sans-serif"/>
                  <w:b w:val="false"/>
                  <w:strike w:val="false"/>
                  <w:dstrike w:val="false"/>
                  <w:color w:val="000000"/>
                  <w:sz w:val="20"/>
                  <w:u w:val="none"/>
                  <w:effect w:val="none"/>
                </w:rPr>
                <w:t>67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58">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558">
              <w:r>
                <w:rPr>
                  <w:rStyle w:val="InternetLink"/>
                  <w:rFonts w:ascii="Times New Roman;sans-serif" w:hAnsi="Times New Roman;sans-serif"/>
                  <w:b w:val="false"/>
                  <w:strike w:val="false"/>
                  <w:dstrike w:val="false"/>
                  <w:color w:val="000080"/>
                  <w:sz w:val="20"/>
                  <w:u w:val="single"/>
                  <w:effect w:val="none"/>
                </w:rPr>
                <w:t>2</w:t>
              </w:r>
            </w:hyperlink>
            <w:hyperlink w:anchor="i7d9e1b40a3474abdb3b40585aed3562e_558">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58">
              <w:r>
                <w:rPr>
                  <w:rStyle w:val="InternetLink"/>
                  <w:rFonts w:ascii="Times New Roman;sans-serif" w:hAnsi="Times New Roman;sans-serif"/>
                  <w:b w:val="false"/>
                  <w:color w:val="0000FF"/>
                  <w:sz w:val="20"/>
                  <w:u w:val="single"/>
                </w:rPr>
                <w:t>Properties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58">
              <w:r>
                <w:rPr>
                  <w:rStyle w:val="InternetLink"/>
                  <w:rFonts w:ascii="Times New Roman;sans-serif" w:hAnsi="Times New Roman;sans-serif"/>
                  <w:b w:val="false"/>
                  <w:strike w:val="false"/>
                  <w:dstrike w:val="false"/>
                  <w:color w:val="000000"/>
                  <w:sz w:val="20"/>
                  <w:u w:val="none"/>
                  <w:effect w:val="none"/>
                </w:rPr>
                <w:t>67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66">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566">
              <w:r>
                <w:rPr>
                  <w:rStyle w:val="InternetLink"/>
                  <w:rFonts w:ascii="Times New Roman;sans-serif" w:hAnsi="Times New Roman;sans-serif"/>
                  <w:b w:val="false"/>
                  <w:strike w:val="false"/>
                  <w:dstrike w:val="false"/>
                  <w:color w:val="000080"/>
                  <w:sz w:val="20"/>
                  <w:u w:val="single"/>
                  <w:effect w:val="none"/>
                </w:rPr>
                <w:t>3</w:t>
              </w:r>
            </w:hyperlink>
            <w:hyperlink w:anchor="i7d9e1b40a3474abdb3b40585aed3562e_566">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66">
              <w:r>
                <w:rPr>
                  <w:rStyle w:val="InternetLink"/>
                  <w:rFonts w:ascii="Times New Roman;sans-serif" w:hAnsi="Times New Roman;sans-serif"/>
                  <w:b w:val="false"/>
                  <w:color w:val="0000FF"/>
                  <w:sz w:val="20"/>
                  <w:u w:val="single"/>
                </w:rPr>
                <w:t>Legal Proceedings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66">
              <w:r>
                <w:rPr>
                  <w:rStyle w:val="InternetLink"/>
                  <w:rFonts w:ascii="Times New Roman;sans-serif" w:hAnsi="Times New Roman;sans-serif"/>
                  <w:b w:val="false"/>
                  <w:strike w:val="false"/>
                  <w:dstrike w:val="false"/>
                  <w:color w:val="000000"/>
                  <w:sz w:val="20"/>
                  <w:u w:val="none"/>
                  <w:effect w:val="non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74">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574">
              <w:r>
                <w:rPr>
                  <w:rStyle w:val="InternetLink"/>
                  <w:rFonts w:ascii="Times New Roman;sans-serif" w:hAnsi="Times New Roman;sans-serif"/>
                  <w:b w:val="false"/>
                  <w:strike w:val="false"/>
                  <w:dstrike w:val="false"/>
                  <w:color w:val="000080"/>
                  <w:sz w:val="20"/>
                  <w:u w:val="single"/>
                  <w:effect w:val="none"/>
                </w:rPr>
                <w:t>4</w:t>
              </w:r>
            </w:hyperlink>
            <w:hyperlink w:anchor="i7d9e1b40a3474abdb3b40585aed3562e_574">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74">
              <w:r>
                <w:rPr>
                  <w:rStyle w:val="InternetLink"/>
                  <w:rFonts w:ascii="Times New Roman;sans-serif" w:hAnsi="Times New Roman;sans-serif"/>
                  <w:b w:val="false"/>
                  <w:color w:val="0000FF"/>
                  <w:sz w:val="20"/>
                  <w:u w:val="single"/>
                </w:rPr>
                <w:t>Mine Safety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74">
              <w:r>
                <w:rPr>
                  <w:rStyle w:val="InternetLink"/>
                  <w:rFonts w:ascii="Times New Roman;sans-serif" w:hAnsi="Times New Roman;sans-serif"/>
                  <w:b w:val="false"/>
                  <w:strike w:val="false"/>
                  <w:dstrike w:val="false"/>
                  <w:color w:val="000000"/>
                  <w:sz w:val="20"/>
                  <w:u w:val="none"/>
                  <w:effect w:val="non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83">
              <w:r>
                <w:rPr>
                  <w:rStyle w:val="InternetLink"/>
                  <w:rFonts w:ascii="Times New Roman;sans-serif" w:hAnsi="Times New Roman;sans-serif"/>
                  <w:b w:val="false"/>
                  <w:color w:val="0000FF"/>
                  <w:sz w:val="20"/>
                  <w:u w:val="single"/>
                </w:rPr>
                <w:t xml:space="preserve">PART II </w:t>
              </w:r>
            </w:hyperlink>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83">
              <w:r>
                <w:rPr>
                  <w:rStyle w:val="InternetLink"/>
                  <w:rFonts w:ascii="Times New Roman;sans-serif" w:hAnsi="Times New Roman;sans-serif"/>
                  <w:b w:val="false"/>
                  <w:strike w:val="false"/>
                  <w:dstrike w:val="false"/>
                  <w:color w:val="000000"/>
                  <w:sz w:val="20"/>
                  <w:u w:val="none"/>
                  <w:effect w:val="non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00">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00">
              <w:r>
                <w:rPr>
                  <w:rStyle w:val="InternetLink"/>
                  <w:rFonts w:ascii="Times New Roman;sans-serif" w:hAnsi="Times New Roman;sans-serif"/>
                  <w:b w:val="false"/>
                  <w:strike w:val="false"/>
                  <w:dstrike w:val="false"/>
                  <w:color w:val="000080"/>
                  <w:sz w:val="20"/>
                  <w:u w:val="single"/>
                  <w:effect w:val="none"/>
                </w:rPr>
                <w:t>5</w:t>
              </w:r>
            </w:hyperlink>
            <w:hyperlink w:anchor="i7d9e1b40a3474abdb3b40585aed3562e_600">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0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00">
              <w:r>
                <w:rPr>
                  <w:rStyle w:val="InternetLink"/>
                  <w:rFonts w:ascii="Times New Roman;sans-serif" w:hAnsi="Times New Roman;sans-serif"/>
                  <w:b w:val="false"/>
                  <w:strike w:val="false"/>
                  <w:dstrike w:val="false"/>
                  <w:color w:val="000000"/>
                  <w:sz w:val="20"/>
                  <w:u w:val="none"/>
                  <w:effect w:val="non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12">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12">
              <w:r>
                <w:rPr>
                  <w:rStyle w:val="InternetLink"/>
                  <w:rFonts w:ascii="Times New Roman;sans-serif" w:hAnsi="Times New Roman;sans-serif"/>
                  <w:b w:val="false"/>
                  <w:strike w:val="false"/>
                  <w:dstrike w:val="false"/>
                  <w:color w:val="000080"/>
                  <w:sz w:val="20"/>
                  <w:u w:val="single"/>
                  <w:effect w:val="none"/>
                </w:rPr>
                <w:t>6</w:t>
              </w:r>
            </w:hyperlink>
            <w:hyperlink w:anchor="i7d9e1b40a3474abdb3b40585aed3562e_612">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12">
              <w:r>
                <w:rPr>
                  <w:rStyle w:val="InternetLink"/>
                  <w:rFonts w:ascii="Times New Roman;sans-serif" w:hAnsi="Times New Roman;sans-serif"/>
                  <w:b w:val="false"/>
                  <w:color w:val="000080"/>
                  <w:sz w:val="20"/>
                  <w:u w:val="single"/>
                </w:rPr>
                <w:t>[</w:t>
              </w:r>
            </w:hyperlink>
            <w:hyperlink w:anchor="i7d9e1b40a3474abdb3b40585aed3562e_612">
              <w:r>
                <w:rPr>
                  <w:rStyle w:val="InternetLink"/>
                  <w:rFonts w:ascii="Times New Roman;sans-serif" w:hAnsi="Times New Roman;sans-serif"/>
                  <w:b w:val="false"/>
                  <w:color w:val="000080"/>
                  <w:sz w:val="20"/>
                  <w:u w:val="single"/>
                </w:rPr>
                <w:t>Reserved</w:t>
              </w:r>
            </w:hyperlink>
            <w:hyperlink w:anchor="i7d9e1b40a3474abdb3b40585aed3562e_612">
              <w:r>
                <w:rPr>
                  <w:rStyle w:val="InternetLink"/>
                  <w:rFonts w:ascii="Times New Roman;sans-serif" w:hAnsi="Times New Roman;sans-serif"/>
                  <w:b w:val="false"/>
                  <w:color w:val="000080"/>
                  <w:sz w:val="20"/>
                  <w:u w:val="single"/>
                </w:rPr>
                <w:t>]</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12">
              <w:r>
                <w:rPr>
                  <w:rStyle w:val="InternetLink"/>
                  <w:rFonts w:ascii="Times New Roman;sans-serif" w:hAnsi="Times New Roman;sans-serif"/>
                  <w:b w:val="false"/>
                  <w:strike w:val="false"/>
                  <w:dstrike w:val="false"/>
                  <w:color w:val="000000"/>
                  <w:sz w:val="20"/>
                  <w:u w:val="none"/>
                  <w:effect w:val="none"/>
                </w:rPr>
                <w:t>78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34">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34">
              <w:r>
                <w:rPr>
                  <w:rStyle w:val="InternetLink"/>
                  <w:rFonts w:ascii="Times New Roman;sans-serif" w:hAnsi="Times New Roman;sans-serif"/>
                  <w:b w:val="false"/>
                  <w:strike w:val="false"/>
                  <w:dstrike w:val="false"/>
                  <w:color w:val="000080"/>
                  <w:sz w:val="20"/>
                  <w:u w:val="single"/>
                  <w:effect w:val="none"/>
                </w:rPr>
                <w:t>7</w:t>
              </w:r>
            </w:hyperlink>
            <w:hyperlink w:anchor="i7d9e1b40a3474abdb3b40585aed3562e_34">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3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34">
              <w:r>
                <w:rPr>
                  <w:rStyle w:val="InternetLink"/>
                  <w:rFonts w:ascii="Times New Roman;sans-serif" w:hAnsi="Times New Roman;sans-serif"/>
                  <w:b w:val="false"/>
                  <w:strike w:val="false"/>
                  <w:dstrike w:val="false"/>
                  <w:color w:val="000000"/>
                  <w:sz w:val="20"/>
                  <w:u w:val="none"/>
                  <w:effect w:val="none"/>
                </w:rPr>
                <w:t>78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2">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52">
              <w:r>
                <w:rPr>
                  <w:rStyle w:val="InternetLink"/>
                  <w:rFonts w:ascii="Times New Roman;sans-serif" w:hAnsi="Times New Roman;sans-serif"/>
                  <w:b w:val="false"/>
                  <w:strike w:val="false"/>
                  <w:dstrike w:val="false"/>
                  <w:color w:val="000080"/>
                  <w:sz w:val="20"/>
                  <w:u w:val="single"/>
                  <w:effect w:val="none"/>
                </w:rPr>
                <w:t>7A</w:t>
              </w:r>
            </w:hyperlink>
            <w:hyperlink w:anchor="i7d9e1b40a3474abdb3b40585aed3562e_52">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52">
              <w:r>
                <w:rPr>
                  <w:rStyle w:val="InternetLink"/>
                  <w:rFonts w:ascii="Times New Roman;sans-serif" w:hAnsi="Times New Roman;sans-serif"/>
                  <w:b w:val="false"/>
                  <w:color w:val="0000FF"/>
                  <w:sz w:val="20"/>
                  <w:u w:val="single"/>
                </w:rPr>
                <w:t>Quantitative and Qualitative Disclosures About Market Risk.</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52">
              <w:r>
                <w:rPr>
                  <w:rStyle w:val="InternetLink"/>
                  <w:rFonts w:ascii="Times New Roman;sans-serif" w:hAnsi="Times New Roman;sans-serif"/>
                  <w:b w:val="false"/>
                  <w:strike w:val="false"/>
                  <w:dstrike w:val="false"/>
                  <w:color w:val="000000"/>
                  <w:sz w:val="20"/>
                  <w:u w:val="none"/>
                  <w:effect w:val="none"/>
                </w:rPr>
                <w:t>104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25">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25">
              <w:r>
                <w:rPr>
                  <w:rStyle w:val="InternetLink"/>
                  <w:rFonts w:ascii="Times New Roman;sans-serif" w:hAnsi="Times New Roman;sans-serif"/>
                  <w:b w:val="false"/>
                  <w:strike w:val="false"/>
                  <w:dstrike w:val="false"/>
                  <w:color w:val="000080"/>
                  <w:sz w:val="20"/>
                  <w:u w:val="single"/>
                  <w:effect w:val="none"/>
                </w:rPr>
                <w:t>8</w:t>
              </w:r>
            </w:hyperlink>
            <w:hyperlink w:anchor="i7d9e1b40a3474abdb3b40585aed3562e_625">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25">
              <w:r>
                <w:rPr>
                  <w:rStyle w:val="InternetLink"/>
                  <w:rFonts w:ascii="Times New Roman;sans-serif" w:hAnsi="Times New Roman;sans-serif"/>
                  <w:b w:val="false"/>
                  <w:color w:val="0000FF"/>
                  <w:sz w:val="20"/>
                  <w:u w:val="single"/>
                </w:rPr>
                <w:t>Financial Statements and Supplementary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25">
              <w:r>
                <w:rPr>
                  <w:rStyle w:val="InternetLink"/>
                  <w:rFonts w:ascii="Times New Roman;sans-serif" w:hAnsi="Times New Roman;sans-serif"/>
                  <w:b w:val="false"/>
                  <w:strike w:val="false"/>
                  <w:dstrike w:val="false"/>
                  <w:color w:val="000000"/>
                  <w:sz w:val="20"/>
                  <w:u w:val="none"/>
                  <w:effect w:val="non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33">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33">
              <w:r>
                <w:rPr>
                  <w:rStyle w:val="InternetLink"/>
                  <w:rFonts w:ascii="Times New Roman;sans-serif" w:hAnsi="Times New Roman;sans-serif"/>
                  <w:b w:val="false"/>
                  <w:strike w:val="false"/>
                  <w:dstrike w:val="false"/>
                  <w:color w:val="000080"/>
                  <w:sz w:val="20"/>
                  <w:u w:val="single"/>
                  <w:effect w:val="none"/>
                </w:rPr>
                <w:t>9</w:t>
              </w:r>
            </w:hyperlink>
            <w:hyperlink w:anchor="i7d9e1b40a3474abdb3b40585aed3562e_633">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3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33">
              <w:r>
                <w:rPr>
                  <w:rStyle w:val="InternetLink"/>
                  <w:rFonts w:ascii="Times New Roman;sans-serif" w:hAnsi="Times New Roman;sans-serif"/>
                  <w:b w:val="false"/>
                  <w:strike w:val="false"/>
                  <w:dstrike w:val="false"/>
                  <w:color w:val="000000"/>
                  <w:sz w:val="20"/>
                  <w:u w:val="none"/>
                  <w:effect w:val="none"/>
                </w:rPr>
                <w:t>163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7">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7">
              <w:r>
                <w:rPr>
                  <w:rStyle w:val="InternetLink"/>
                  <w:rFonts w:ascii="Times New Roman;sans-serif" w:hAnsi="Times New Roman;sans-serif"/>
                  <w:b w:val="false"/>
                  <w:strike w:val="false"/>
                  <w:dstrike w:val="false"/>
                  <w:color w:val="000080"/>
                  <w:sz w:val="20"/>
                  <w:u w:val="single"/>
                  <w:effect w:val="none"/>
                </w:rPr>
                <w:t>9A</w:t>
              </w:r>
            </w:hyperlink>
            <w:hyperlink w:anchor="i7d9e1b40a3474abdb3b40585aed3562e_67">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360" w:after="283"/>
              <w:jc w:val="left"/>
              <w:rPr/>
            </w:pPr>
            <w:hyperlink w:anchor="i7d9e1b40a3474abdb3b40585aed3562e_67">
              <w:r>
                <w:rPr>
                  <w:rStyle w:val="InternetLink"/>
                  <w:rFonts w:ascii="Times New Roman;sans-serif" w:hAnsi="Times New Roman;sans-serif"/>
                  <w:b w:val="false"/>
                  <w:color w:val="0000FF"/>
                  <w:sz w:val="20"/>
                  <w:u w:val="single"/>
                </w:rPr>
                <w:t xml:space="preserve">Controls and Procedures </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7">
              <w:r>
                <w:rPr>
                  <w:rStyle w:val="InternetLink"/>
                  <w:rFonts w:ascii="Times New Roman;sans-serif" w:hAnsi="Times New Roman;sans-serif"/>
                  <w:b w:val="false"/>
                  <w:strike w:val="false"/>
                  <w:dstrike w:val="false"/>
                  <w:color w:val="000000"/>
                  <w:sz w:val="20"/>
                  <w:u w:val="none"/>
                  <w:effect w:val="none"/>
                </w:rPr>
                <w:t>163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45">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45">
              <w:r>
                <w:rPr>
                  <w:rStyle w:val="InternetLink"/>
                  <w:rFonts w:ascii="Times New Roman;sans-serif" w:hAnsi="Times New Roman;sans-serif"/>
                  <w:b w:val="false"/>
                  <w:strike w:val="false"/>
                  <w:dstrike w:val="false"/>
                  <w:color w:val="000080"/>
                  <w:sz w:val="20"/>
                  <w:u w:val="single"/>
                  <w:effect w:val="none"/>
                </w:rPr>
                <w:t>9B</w:t>
              </w:r>
            </w:hyperlink>
            <w:hyperlink w:anchor="i7d9e1b40a3474abdb3b40585aed3562e_645">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45">
              <w:r>
                <w:rPr>
                  <w:rStyle w:val="InternetLink"/>
                  <w:rFonts w:ascii="Times New Roman;sans-serif" w:hAnsi="Times New Roman;sans-serif"/>
                  <w:b w:val="false"/>
                  <w:color w:val="0000FF"/>
                  <w:sz w:val="20"/>
                  <w:u w:val="single"/>
                </w:rPr>
                <w:t>Other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45">
              <w:r>
                <w:rPr>
                  <w:rStyle w:val="InternetLink"/>
                  <w:rFonts w:ascii="Times New Roman;sans-serif" w:hAnsi="Times New Roman;sans-serif"/>
                  <w:b w:val="false"/>
                  <w:strike w:val="false"/>
                  <w:dstrike w:val="false"/>
                  <w:color w:val="000000"/>
                  <w:sz w:val="20"/>
                  <w:u w:val="none"/>
                  <w:effect w:val="none"/>
                </w:rPr>
                <w:t>164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94">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94">
              <w:r>
                <w:rPr>
                  <w:rStyle w:val="InternetLink"/>
                  <w:rFonts w:ascii="Times New Roman;sans-serif" w:hAnsi="Times New Roman;sans-serif"/>
                  <w:b w:val="false"/>
                  <w:strike w:val="false"/>
                  <w:dstrike w:val="false"/>
                  <w:color w:val="000080"/>
                  <w:sz w:val="20"/>
                  <w:u w:val="single"/>
                  <w:effect w:val="none"/>
                </w:rPr>
                <w:t>9C</w:t>
              </w:r>
            </w:hyperlink>
            <w:hyperlink w:anchor="i7d9e1b40a3474abdb3b40585aed3562e_94">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94">
              <w:r>
                <w:rPr>
                  <w:rStyle w:val="InternetLink"/>
                  <w:rFonts w:ascii="Times New Roman;sans-serif" w:hAnsi="Times New Roman;sans-serif"/>
                  <w:b w:val="false"/>
                  <w:color w:val="0000FF"/>
                  <w:sz w:val="20"/>
                  <w:u w:val="single"/>
                </w:rPr>
                <w:t>Disclosure Regarding Foreign Jurisdictions that Prevent Inspections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94">
              <w:r>
                <w:rPr>
                  <w:rStyle w:val="InternetLink"/>
                  <w:rFonts w:ascii="Times New Roman;sans-serif" w:hAnsi="Times New Roman;sans-serif"/>
                  <w:b w:val="false"/>
                  <w:strike w:val="false"/>
                  <w:dstrike w:val="false"/>
                  <w:color w:val="000000"/>
                  <w:sz w:val="20"/>
                  <w:u w:val="none"/>
                  <w:effect w:val="none"/>
                </w:rPr>
                <w:t>164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37">
              <w:r>
                <w:rPr>
                  <w:rStyle w:val="InternetLink"/>
                  <w:rFonts w:ascii="Times New Roman;sans-serif" w:hAnsi="Times New Roman;sans-serif"/>
                  <w:b w:val="false"/>
                  <w:color w:val="0000FF"/>
                  <w:sz w:val="20"/>
                  <w:u w:val="single"/>
                </w:rPr>
                <w:t xml:space="preserve">PART III </w:t>
              </w:r>
            </w:hyperlink>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37">
              <w:r>
                <w:rPr>
                  <w:rStyle w:val="InternetLink"/>
                  <w:rFonts w:ascii="Times New Roman;sans-serif" w:hAnsi="Times New Roman;sans-serif"/>
                  <w:b w:val="false"/>
                  <w:strike w:val="false"/>
                  <w:dstrike w:val="false"/>
                  <w:color w:val="000000"/>
                  <w:sz w:val="20"/>
                  <w:u w:val="none"/>
                  <w:effect w:val="none"/>
                </w:rPr>
                <w:t>164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55">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55">
              <w:r>
                <w:rPr>
                  <w:rStyle w:val="InternetLink"/>
                  <w:rFonts w:ascii="Times New Roman;sans-serif" w:hAnsi="Times New Roman;sans-serif"/>
                  <w:b w:val="false"/>
                  <w:strike w:val="false"/>
                  <w:dstrike w:val="false"/>
                  <w:color w:val="000080"/>
                  <w:sz w:val="20"/>
                  <w:u w:val="single"/>
                  <w:effect w:val="none"/>
                </w:rPr>
                <w:t>10</w:t>
              </w:r>
            </w:hyperlink>
            <w:hyperlink w:anchor="i7d9e1b40a3474abdb3b40585aed3562e_655">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55">
              <w:r>
                <w:rPr>
                  <w:rStyle w:val="InternetLink"/>
                  <w:rFonts w:ascii="Times New Roman;sans-serif" w:hAnsi="Times New Roman;sans-serif"/>
                  <w:b w:val="false"/>
                  <w:color w:val="0000FF"/>
                  <w:sz w:val="20"/>
                  <w:u w:val="single"/>
                </w:rPr>
                <w:t>Directors, Executive Officers and Corporate Governance</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55">
              <w:r>
                <w:rPr>
                  <w:rStyle w:val="InternetLink"/>
                  <w:rFonts w:ascii="Times New Roman;sans-serif" w:hAnsi="Times New Roman;sans-serif"/>
                  <w:b w:val="false"/>
                  <w:strike w:val="false"/>
                  <w:dstrike w:val="false"/>
                  <w:color w:val="000000"/>
                  <w:sz w:val="20"/>
                  <w:u w:val="none"/>
                  <w:effect w:val="none"/>
                </w:rPr>
                <w:t>165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69">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69">
              <w:r>
                <w:rPr>
                  <w:rStyle w:val="InternetLink"/>
                  <w:rFonts w:ascii="Times New Roman;sans-serif" w:hAnsi="Times New Roman;sans-serif"/>
                  <w:b w:val="false"/>
                  <w:strike w:val="false"/>
                  <w:dstrike w:val="false"/>
                  <w:color w:val="000080"/>
                  <w:sz w:val="20"/>
                  <w:u w:val="single"/>
                  <w:effect w:val="none"/>
                </w:rPr>
                <w:t>11</w:t>
              </w:r>
            </w:hyperlink>
            <w:hyperlink w:anchor="i7d9e1b40a3474abdb3b40585aed3562e_669">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360" w:after="283"/>
              <w:jc w:val="left"/>
              <w:rPr/>
            </w:pPr>
            <w:hyperlink w:anchor="i7d9e1b40a3474abdb3b40585aed3562e_669">
              <w:r>
                <w:rPr>
                  <w:rStyle w:val="InternetLink"/>
                  <w:rFonts w:ascii="Times New Roman;sans-serif" w:hAnsi="Times New Roman;sans-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69">
              <w:r>
                <w:rPr>
                  <w:rStyle w:val="InternetLink"/>
                  <w:rFonts w:ascii="Times New Roman;sans-serif" w:hAnsi="Times New Roman;sans-serif"/>
                  <w:b w:val="false"/>
                  <w:strike w:val="false"/>
                  <w:dstrike w:val="false"/>
                  <w:color w:val="000000"/>
                  <w:sz w:val="20"/>
                  <w:u w:val="none"/>
                  <w:effect w:val="none"/>
                </w:rPr>
                <w:t>165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78">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678">
              <w:r>
                <w:rPr>
                  <w:rStyle w:val="InternetLink"/>
                  <w:rFonts w:ascii="Times New Roman;sans-serif" w:hAnsi="Times New Roman;sans-serif"/>
                  <w:b w:val="false"/>
                  <w:strike w:val="false"/>
                  <w:dstrike w:val="false"/>
                  <w:color w:val="000080"/>
                  <w:sz w:val="20"/>
                  <w:u w:val="single"/>
                  <w:effect w:val="none"/>
                </w:rPr>
                <w:t>12</w:t>
              </w:r>
            </w:hyperlink>
            <w:hyperlink w:anchor="i7d9e1b40a3474abdb3b40585aed3562e_678">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7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78">
              <w:r>
                <w:rPr>
                  <w:rStyle w:val="InternetLink"/>
                  <w:rFonts w:ascii="Times New Roman;sans-serif" w:hAnsi="Times New Roman;sans-serif"/>
                  <w:b w:val="false"/>
                  <w:strike w:val="false"/>
                  <w:dstrike w:val="false"/>
                  <w:color w:val="000000"/>
                  <w:sz w:val="20"/>
                  <w:u w:val="none"/>
                  <w:effect w:val="none"/>
                </w:rPr>
                <w:t>165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40">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40">
              <w:r>
                <w:rPr>
                  <w:rStyle w:val="InternetLink"/>
                  <w:rFonts w:ascii="Times New Roman;sans-serif" w:hAnsi="Times New Roman;sans-serif"/>
                  <w:b w:val="false"/>
                  <w:strike w:val="false"/>
                  <w:dstrike w:val="false"/>
                  <w:color w:val="000080"/>
                  <w:sz w:val="20"/>
                  <w:u w:val="single"/>
                  <w:effect w:val="none"/>
                </w:rPr>
                <w:t>13</w:t>
              </w:r>
            </w:hyperlink>
            <w:hyperlink w:anchor="i7d9e1b40a3474abdb3b40585aed3562e_40">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4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40">
              <w:r>
                <w:rPr>
                  <w:rStyle w:val="InternetLink"/>
                  <w:rFonts w:ascii="Times New Roman;sans-serif" w:hAnsi="Times New Roman;sans-serif"/>
                  <w:b w:val="false"/>
                  <w:strike w:val="false"/>
                  <w:dstrike w:val="false"/>
                  <w:color w:val="000000"/>
                  <w:sz w:val="20"/>
                  <w:u w:val="none"/>
                  <w:effect w:val="none"/>
                </w:rPr>
                <w:t>165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76">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76">
              <w:r>
                <w:rPr>
                  <w:rStyle w:val="InternetLink"/>
                  <w:rFonts w:ascii="Times New Roman;sans-serif" w:hAnsi="Times New Roman;sans-serif"/>
                  <w:b w:val="false"/>
                  <w:strike w:val="false"/>
                  <w:dstrike w:val="false"/>
                  <w:color w:val="000080"/>
                  <w:sz w:val="20"/>
                  <w:u w:val="single"/>
                  <w:effect w:val="none"/>
                </w:rPr>
                <w:t>14</w:t>
              </w:r>
            </w:hyperlink>
            <w:hyperlink w:anchor="i7d9e1b40a3474abdb3b40585aed3562e_76">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76">
              <w:r>
                <w:rPr>
                  <w:rStyle w:val="InternetLink"/>
                  <w:rFonts w:ascii="Times New Roman;sans-serif" w:hAnsi="Times New Roman;sans-serif"/>
                  <w:b w:val="false"/>
                  <w:color w:val="0000FF"/>
                  <w:sz w:val="20"/>
                  <w:u w:val="single"/>
                </w:rPr>
                <w:t>Principal Accountant Fees and Services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76">
              <w:r>
                <w:rPr>
                  <w:rStyle w:val="InternetLink"/>
                  <w:rFonts w:ascii="Times New Roman;sans-serif" w:hAnsi="Times New Roman;sans-serif"/>
                  <w:b w:val="false"/>
                  <w:strike w:val="false"/>
                  <w:dstrike w:val="false"/>
                  <w:color w:val="000000"/>
                  <w:sz w:val="20"/>
                  <w:u w:val="none"/>
                  <w:effect w:val="none"/>
                </w:rPr>
                <w:t>165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693">
              <w:r>
                <w:rPr>
                  <w:rStyle w:val="InternetLink"/>
                  <w:rFonts w:ascii="Times New Roman;sans-serif" w:hAnsi="Times New Roman;sans-serif"/>
                  <w:b w:val="false"/>
                  <w:color w:val="0000FF"/>
                  <w:sz w:val="20"/>
                  <w:u w:val="single"/>
                </w:rPr>
                <w:t>PART IV</w:t>
              </w:r>
            </w:hyperlink>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693">
              <w:r>
                <w:rPr>
                  <w:rStyle w:val="InternetLink"/>
                  <w:rFonts w:ascii="Times New Roman;sans-serif" w:hAnsi="Times New Roman;sans-serif"/>
                  <w:b w:val="false"/>
                  <w:strike w:val="false"/>
                  <w:dstrike w:val="false"/>
                  <w:color w:val="000000"/>
                  <w:sz w:val="20"/>
                  <w:u w:val="none"/>
                  <w:effect w:val="none"/>
                </w:rPr>
                <w:t>165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702">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d9e1b40a3474abdb3b40585aed3562e_702">
              <w:r>
                <w:rPr>
                  <w:rStyle w:val="InternetLink"/>
                  <w:rFonts w:ascii="Times New Roman;sans-serif" w:hAnsi="Times New Roman;sans-serif"/>
                  <w:b w:val="false"/>
                  <w:strike w:val="false"/>
                  <w:dstrike w:val="false"/>
                  <w:color w:val="000080"/>
                  <w:sz w:val="20"/>
                  <w:u w:val="single"/>
                  <w:effect w:val="none"/>
                </w:rPr>
                <w:t>15</w:t>
              </w:r>
            </w:hyperlink>
            <w:hyperlink w:anchor="i7d9e1b40a3474abdb3b40585aed3562e_702">
              <w:r>
                <w:rPr>
                  <w:rStyle w:val="InternetLink"/>
                  <w:rFonts w:ascii="Times New Roman;sans-serif" w:hAnsi="Times New Roman;sans-serif"/>
                  <w:b w:val="false"/>
                  <w:strike w:val="false"/>
                  <w:dstrike w:val="false"/>
                  <w:color w:val="000080"/>
                  <w:sz w:val="20"/>
                  <w:u w:val="single"/>
                  <w:effect w:val="none"/>
                </w:rPr>
                <w:t>.</w:t>
              </w:r>
            </w:hyperlink>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702">
              <w:r>
                <w:rPr>
                  <w:rStyle w:val="InternetLink"/>
                  <w:rFonts w:ascii="Times New Roman;sans-serif" w:hAnsi="Times New Roman;sans-serif"/>
                  <w:b w:val="false"/>
                  <w:color w:val="0000FF"/>
                  <w:sz w:val="20"/>
                  <w:u w:val="single"/>
                </w:rPr>
                <w:t>Exhibit and Financial Statement Schedules</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702">
              <w:r>
                <w:rPr>
                  <w:rStyle w:val="InternetLink"/>
                  <w:rFonts w:ascii="Times New Roman;sans-serif" w:hAnsi="Times New Roman;sans-serif"/>
                  <w:b w:val="false"/>
                  <w:strike w:val="false"/>
                  <w:dstrike w:val="false"/>
                  <w:color w:val="000000"/>
                  <w:sz w:val="20"/>
                  <w:u w:val="none"/>
                  <w:effect w:val="none"/>
                </w:rPr>
                <w:t>165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7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09">
              <w:r>
                <w:rPr>
                  <w:rStyle w:val="InternetLink"/>
                  <w:rFonts w:ascii="Times New Roman;sans-serif" w:hAnsi="Times New Roman;sans-serif"/>
                  <w:b w:val="false"/>
                  <w:color w:val="000080"/>
                  <w:sz w:val="20"/>
                  <w:u w:val="single"/>
                </w:rPr>
                <w:t>F</w:t>
              </w:r>
            </w:hyperlink>
            <w:hyperlink w:anchor="i7d9e1b40a3474abdb3b40585aed3562e_109">
              <w:r>
                <w:rPr>
                  <w:rStyle w:val="InternetLink"/>
                  <w:rFonts w:ascii="Times New Roman;sans-serif" w:hAnsi="Times New Roman;sans-serif"/>
                  <w:b w:val="false"/>
                  <w:color w:val="000080"/>
                  <w:sz w:val="20"/>
                  <w:u w:val="single"/>
                </w:rPr>
                <w:t>orm 10-K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109">
              <w:r>
                <w:rPr>
                  <w:rStyle w:val="InternetLink"/>
                  <w:rFonts w:ascii="Times New Roman;sans-serif" w:hAnsi="Times New Roman;sans-serif"/>
                  <w:b w:val="false"/>
                  <w:strike w:val="false"/>
                  <w:dstrike w:val="false"/>
                  <w:color w:val="000000"/>
                  <w:sz w:val="20"/>
                  <w:u w:val="none"/>
                  <w:effect w:val="none"/>
                </w:rPr>
                <w:t>167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12">
              <w:r>
                <w:rPr>
                  <w:rStyle w:val="InternetLink"/>
                  <w:rFonts w:ascii="Times New Roman;sans-serif" w:hAnsi="Times New Roman;sans-serif"/>
                  <w:b w:val="false"/>
                  <w:color w:val="000080"/>
                  <w:sz w:val="20"/>
                  <w:u w:val="single"/>
                </w:rPr>
                <w:t>S</w:t>
              </w:r>
            </w:hyperlink>
            <w:hyperlink w:anchor="i7d9e1b40a3474abdb3b40585aed3562e_112">
              <w:r>
                <w:rPr>
                  <w:rStyle w:val="InternetLink"/>
                  <w:rFonts w:ascii="Times New Roman;sans-serif" w:hAnsi="Times New Roman;sans-serif"/>
                  <w:b w:val="false"/>
                  <w:color w:val="000080"/>
                  <w:sz w:val="20"/>
                  <w:u w:val="single"/>
                </w:rPr>
                <w:t>ignatures</w:t>
              </w:r>
            </w:hyperlink>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d9e1b40a3474abdb3b40585aed3562e_112">
              <w:r>
                <w:rPr>
                  <w:rStyle w:val="InternetLink"/>
                  <w:rFonts w:ascii="Times New Roman;sans-serif" w:hAnsi="Times New Roman;sans-serif"/>
                  <w:b w:val="false"/>
                  <w:strike w:val="false"/>
                  <w:dstrike w:val="false"/>
                  <w:color w:val="000000"/>
                  <w:sz w:val="20"/>
                  <w:u w:val="none"/>
                  <w:effect w:val="none"/>
                </w:rPr>
                <w:t>168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INTRODUCTION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Conventions that Apply to this Annual Report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we indicate otherwise, references in this annual report to: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3P seller GigaCloud Marketplace GMV” means the total gross merchandise value of transactions sold through our GigaCloud Marketplace by 3P sellers, before any deductions of value added tax, goods and services tax, shipping charges paid by buyers to sellers and any refunds.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Active 3P sellers” mean sellers who have sold a product in GigaCloud Marketplace within the last 12-month period, irrespective of cancellations or returns;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Active buyers” mean buyers who have purchased a product in the GigaCloud Marketplace within the last 12-month period, irrespective of cancellations or returns;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Cayman Islands holding company” are to GigaCloud Technology Inc, our Cayman Islands holding company and its predecessor entity;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China” and the “PRC” are to the People’s Republic of China, and “mainland China” are to the People’s Republic of China excluding, for the purposes of this annual report only, Taiwan, the Hong Kong Special Administrative Region and the Macao Special Administrative Region; In this annual report, any PRC laws, rules, regulations, statutes, notices, circulars and judicial interpretation or the like refer to those currently in force, published for comments (if specifically stated) or being promulgated but have not come into effect (if specifically stated) and publicly available in mainland China as of the date of this annual report.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Class A ordinary shares” or “our Class A ordinary shares” are to the Class A ordinary shares, par value $0.05 per share, of GigaCloud Technology Inc;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Class B ordinary shares” or “our Class B ordinary shares” are to the Class B ordinary shares, par value $0.05 per share, of GigaCloud Technology Inc;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GigaCloud Marketplace GMV” mean the total gross merchandise value of transactions ordered through our GigaCloud Marketplace including GigaCloud 3P and GigaCloud 1P, before any deductions of value added tax, goods and services tax, shipping charges paid by buyers to sellers and any refunds;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GMV” mean the total gross merchandise value of transactions;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HK$” refer to the legal currency of Hong Kong;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Hong Kong” are to Hong Kong Special Administrative Region of the People’s Republic of China;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Hong Kong Subsidiary” refer to GigaCloud Technology (HongKong) Limited, a wholly-owned subsidiary of GigaCloud Technology Inc in Hong Kong principally for operating the B2B GigaCloud Marketplace;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off-platform ecommerce” mean the sale of our own inventory to and through third-party ecommerce platforms;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PRC Subsidiaries” refer to operating subsidiaries of GigaCloud Technology Inc in mainland China principally for procurement and providing inter-group services to the group companies;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RMB” and “Renminbi” are to the legal currency of China;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shares,” “our shares” “ordinary shares” or “our ordinary shares” are to our Class A ordinary shares and Class B ordinary shares, par value $0.05 per share;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Share Consolidation” mean consolidation of every 500 shares of each class with a par value of $0.0001 each in our authorized share capital (including all issued and unissued shares) into one share of the same class with a par value of $0.05 each which was approved by our board of directors and shareholders in July 2022 and effected in July 2022;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SKU” mean the stock keeping unit for our inventory;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Spend per active buyer” are calculated by dividing the total GigaCloud Marketplace GMV within the last 12-month period by the number of active buyers as of such date;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US$,” “$” and “U.S. dollars” are to the legal currency of the United States, or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VIEs” are to our former variable interest entities who entered into account control agreements, or control agreements, with GigaCloud Technology Inc, as detailed in “Item 1. Business—Organizational Structure”;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we,” “us,” “our company,” “the Company,” “our,” “our group” or “GigaCloud Group” refer to GigaCloud Technology Inc, our Cayman Islands holding company, its predecessor entity, together as a group with its subsidiaries.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indicates otherwise, all information in this annual report assumes a 1-for-500 Share Consolidation of our ordinary shares approved and effected in July 2022.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rounding adjustments to reach some of the figures included in this annual report. Consequently, numerical figures shown as totals in some tables may not be arithmetic aggregations of the figures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contains forward-looking statements about our current expectations and views of future events, which are contained principally in the sections entitled “Summary of Risk Factors,” “Item 1A. Risk Factors,” “Item 1. Business” and “Item 7. Management’s Discussion and Analysis of Financial Condition and Results of Operations.” These forward-looking statements relate to events that involve known and unknown risks, uncertainties and other factors which may cause our actual results, performance or achievements to be materially different from those expressed or implied by these statements.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can identify some of these forward-looking statements by words or phrases such as “may,” “will,” “could,” “expect,” “anticipate,” “aim,” “estimate,” “intend,” “plan,” “believe,” “is/are likely to,” “propose,”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 forward-looking statements included in this annual report relate to, among other things: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goals;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business and operating strategies and plans for the development of existing and new businesses, ability to implement such strategies and plans and expected time;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realize the expected benefits of our acquisitions;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expectation regarding the prospects of our business model;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future business development, financial condition and results of operations;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expected changes in our revenues, costs or expenditures;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dividend policy;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expectations regarding the effectiveness of our marketing initiatives and the demand for and market acceptance of our products and services;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expectations regarding our relationships with customers and business partners;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trends in, expected growth in and market size of our industry globally;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ability to maintain and enhance our market position;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ability to continue to develop new technologies and/or upgrade our existing technologies;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developments in, or changes to, laws, regulations, governmental policies, incentives and taxation affecting our operations, in particular in the markets we are in;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relevant governmental policies and regulations relating to our businesses and industry;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competitive environment, competitive landscape and potential competitor behavior in our industry; overall industry outlook in our industry;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ability to attract, train and retain executives and other employees;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proposed use of proceeds from any of our future offerings;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development of the global financial and capital markets;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fluctuations in inflation, interest rates and exchange rates;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impact of the COVID-19 pandemic, or other pandemics or epidemics, to our business operations and the economy in the U.S. and elsewhere generally;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general business, political, social and economic conditions in the U.S. and other markets we have business;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assumptions underlying or related to any of the foregoing.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involve various risks and uncertainties. Although we believe that our expectations expressed in these forward-looking statements are reasonable, our expectations and our actual results could be materially different from our expectations. Important risks and factors that could cause our actual results to be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different from our expectations are generally set forth in “Summary of Risk Factors,” “Item 1A. Risk Factors,” “Item 1. Business,” “Item 7. Management’s Discussion and Analysis of Financial Condition and Results of Operation” and other sections in this annual report.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and worse than what we expect. We qualify all of our forward-looking statements by these cautionary statements.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contains information derived from various government and private publications. These publications include forward-looking statements, which are subject to risks, uncertainties and assumptions. Although we believe the data and information to be reliable, we have not independently verified the accuracy or completeness of the data and information contained in these publications. Statistical data in these publications also include projections based on a number of assumptions. Our industry may not grow at the rate projected by market data, or at all. Failure of the market to grow at the projected rate may have a material and adverse effect on our business and the market price of our Class A ordinary shares.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See “Item 1A. Risk Factors—Risks Related to Our Class A Ordinary Shares—This annual report may contain certain industry data and information that were obtained from third-party sources and were not independently verified by us.” Therefore, you should not place undue reliance on these statements.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upon forward-looking statements as predictions of future events. The forward-looking statements in this annual report are made based on events and information as of the date of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completely and with the understanding that our actual future results or performance may materially differ from what we expect.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Class A ordinary shares is subject to a number of risks, including risks related to our business and industry, risks related to our corporate structure, risks related to doing business in China and risks related to our Class A ordinary shares. Investors should carefully consider all of the information in this annual report before making an investment in our shares. The following list summarizes some, but not all, of these risks. Please read the information in “Item 1A. Risk Factors” for a more thorough description of these and other risks.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Risks Related to Our Business and Industry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Uncertainties in economic conditions and their impact on the ecommerce industry, particularly for large parcel merchandise, could adversely impact our operating results.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historical growth rates and performance may not be sustainable or indicative of our future growth and financial results. We cannot guarantee that we will be able to maintain the growth rate we have experienced to date.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We may not realize the expected benefits of our acquisitions of Noble House and Wondersign due to potential risk and uncertainties.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System interruptions that impair access to our GigaCloud Marketplace, or other performance failures in our technology infrastructure, could damage our reputation and results of operations.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international operations are subject to a variety of legal, regulatory, political and economic risks.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If we fail to maintain and expand our relationships with third-party platforms and sellers and buyers in our marketplace, our revenues and results of operations will be harmed.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Risks associated with the manufacturers of the products we sell as our own inventory could materially and adversely affect our financial performance as well as our reputation and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If we fail to manage our inventory effectively, our results of operations, financial condition and liquidity may be materially and adversely affected.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We depend on our relationships with third parties, including third-party trucking and freight service companies, and changes in our relationships with these parties could adversely impact our revenues and profits.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We may not be successful in optimizing our warehouses and fulfillment network.</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Damage to our business reputation could have a material adverse effect on our growth strategy and our business, financial condition, results of operations and prospects.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efforts to launch new products or services may not be successful.</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The COVID-19 pandemic, and any future outbreaks or other public health emergencies, could materially affect our business, liquidity, financial condition and operating results.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Risks Related to Our Corporate Structure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You may face difficulties in protecting your interests, and your ability to protect your rights through U.S. courts may be limited, because we are incorporated under Cayman Islands law.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Risks Related to Doing Business in China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We could be adversely affected by political tensions between the U.S. and the PRC.</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Changes in the political and economic policies of the PRC government may materially and adversely affect our business, financial condition and results of operations and may result in our inability to sustain our growth and expansion strategies.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There are uncertainties regarding the PRC legal system, including risks and uncertainties regarding the enforcement of laws, as well as the PRC’s extension of authority into Hong Kong, and that rules and regulations in the PRC can change quickly with little advance notice. The PRC legal system is developing, and recently enacted laws, rules and regulations may not sufficiently cover all aspects of economic activities in the PRC or may be subject to interpretation by PRC regulatory agencies. Because the PRC laws, rules and regulations sometimes give the relevant regulator discretion in how to enforce them, the interpretation and enforcement of these laws, rules and regulations involve uncertainties. See “Item 1A. Risk Factors—Risks Related to Doing Business in China—There are uncertainties regarding the PRC legal system.”</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We operate our GigaCloud Marketplace through our Hong Kong Subsidiary. If the PRC government were to extend its oversight into companies in Hong Kong, our Hong Kong Subsidiary may be subject to additional regulations which could have a material effect on our business operations. In light of recent statements and regulatory actions by the PRC government related to the PRC’s extension of authority into Hong Kong, there is risk that the PRC government may influence our operations in Hong Kong, as our operations in Hong Kong are subject to political and economic influence from the PRC government. Our Hong Kong Subsidiary may be subject to direct influence from the PRC government in the future due to changes in laws or other unforeseeable reasons. If our Hong Kong Subsidiary were to become subject to direct influence of the PRC government, our Hong Kong Subsidiary may be required to obtain licenses for the operation of our ecommerce platform GigaCloud Marketplace and be subject to regulations restricting or prohibiting foreign ownership. Such risks could impact our ability to conduct our business, accept foreign investments, remain listed on a U.S. exchange or list on any U.S. or other foreign exchange, result in a material change in our operations and/or the value of our Class A ordinary shares or could significantly limit or completely hinder our ability to offer or continue to offer Class A ordinary shares and/or other securities to investors and cause the value of our securities to significantly decline or be worthless. See “Item 1A. Risk Factors—Risks Related to Doing Business in China—We operate our GigaCloud Marketplace through our Hong Kong Subsidiary. If the PRC government were to extend its oversight into companies in Hong Kong, our Hong Kong Subsidiary may be subject to additional regulations which could have a material effect on our business operations.”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Implementation of the Law of the PRC on Safeguarding National Security in Hong Kong involves uncertainty, and the recent policy pronouncements by the PRC government regarding business activities of U.S.-listed PRC businesses may negatively impact GigaCloud Group’s existing and future operations in Hong Kong.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Recent litigation and negative publicity surrounding companies listed in the U.S. with operations in the PRC may result in increased regulatory scrutiny of us and negatively impact the trading price of our Class A ordinary shares.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We are a holding company and we conduct our operations through our principal subsidiaries. Our corporate structure and operations in Hong Kong and mainland China involve liquidity risks to investors as our ability to make loans or additional capital contributions to our PRC Subsidiaries and Hong Kong Subsidiary may be restricted. See “Item 1A. Risk Factors—Risks Related to Doing Business in China—PRC regulation of loans to, and direct investments in, PRC entities by offshore holding companies and governmental control of currency conversion may restrict or prevent us to make loans or additional capital contributions to our PRC Subsidiaries, which could materially and adversely affect our liquidity and our ability to fund and expand our business.”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To the extent cash is generated in our PRC Subsidiaries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the imposition of restrictions and limitations on the ability of us and our subsidiaries to transfer assets by the PRC law.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the imposition of restrictions and limitations on the ability of us and our subsidiaries to transfer funds or assets by the PRC law. Furthermore, there can be no assurance that the PRC law will not impose restrictions or limitations on GigaCloud Group’s ability to transfer or distribute cash within its organization, which could result in an inability or prohibition on making transfers or distributions to entities outside of mainland China and Hong Kong and adversely affect its business. See “Item 1A. Risk Factors—Risks Related to Doing Business in China—Governmental control of currency conversion may limit our ability to utilize our revenues, transfer or distribute cash within our group effectively and affect the value of your investment.”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Class A Ordinary Shares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 active, liquid and orderly market for our Class A ordinary shares may not develop, and you may not be able to resell the shares at or above the purchase price.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trading price of our Class A ordinary shares could be highly volatile, and purchasers of our Class A ordinary shares could incur substantial losses.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As a domestic U.S. issuer, we are subject to U.S. securities law disclosure requirements that apply to a domestic U.S. issuer. We will incur significant additional legal, accounting and other expenses that we will not incur as a foreign private issuer, and accounting, reporting and other expenses in order to maintain a listing on a U.S. securities exchange.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Class A ordinary shares may be prohibited from trading in the U.S. under the Holding Foreign Companies Accountable Act, or the HFCAA, in the future if the Public Company Accounting Oversight Board, or the PCAOB, is unable to inspect or investigate auditors located in China completely. The delisting of our Class A ordinary shares, or the threat of their being delisted, may materially and adversely affect the value of your investment.</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PCAOB had historically been unable to inspect or investigate auditors located in China completely. Any future inability of the PCAOB to conduct inspections of our auditor may deprive our investors with the benefits of such inspections.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dual-class voting structure will limit your ability to influence corporate matters and could discourage others from pursuing any change of control transactions that holders of our Class A ordinary shares may view as beneficial.</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Our dual-class voting structure may render our Class A ordinary shares ineligible for inclusion in certain stock market indices, and thus adversely affect the trading price and liquidity of our Class A ordinary shares.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center"/>
        <w:rPr/>
      </w:pPr>
      <w:r>
        <w:rPr>
          <w:rFonts w:ascii="Times New Roman;sans-serif" w:hAnsi="Times New Roman;sans-serif"/>
          <w:b/>
          <w:color w:val="000000"/>
          <w:sz w:val="20"/>
        </w:rPr>
        <w:t>PART</w:t>
      </w:r>
      <w:r>
        <w:rPr>
          <w:color w:val="000000"/>
        </w:rPr>
        <w:t xml:space="preserve"> </w:t>
      </w:r>
      <w:r>
        <w:rPr>
          <w:rFonts w:ascii="Times New Roman;sans-serif" w:hAnsi="Times New Roman;sans-serif"/>
          <w:b/>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Business Overview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pioneer of global end-to-end B2B ecommerce solutions for large parcel merchandise. Our B2B ecommerce platform, which we refer to as the “GigaCloud Marketplace,” integrates everything from product discovery to payments to logistics tools into one easy-to-use platform. Our global marketplace seamlessly connects manufacturers, primarily in Asia, with resellers, primarily in the U.S., Asia and Europe, to execute cross-border transactions with confidence, speed and efficiency. We offer a truly comprehensive solution that transports products from the manufacturer’s warehouse to end customers, all at one fixed price. We first launched our marketplace in January 2019 by focusing on the global furniture market and have since expanded into additional categories such as home appliances and fitness equipment. GigaCloud Marketplace is one of the fastest growing large parcel B2B marketplaces with over $414.2 million, $518.2 million and $794.4 million of GMV transacted in our marketplace in 2021, 2022 and 2023, respectively. </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 xml:space="preserve">In October 2023, we completed the acquisition of Noble House Home Furnishings LLC, or Noble House, a leading B2B distributor of indoor and outdoor home furnishings, for an aggregate consideration of approximately $77.6 million. </w:t>
      </w:r>
      <w:r>
        <w:rPr>
          <w:rFonts w:ascii="Times New Roman;sans-serif" w:hAnsi="Times New Roman;sans-serif"/>
          <w:b w:val="false"/>
          <w:color w:val="000000"/>
          <w:sz w:val="20"/>
          <w:shd w:fill="FFFFFF" w:val="clear"/>
        </w:rPr>
        <w:t xml:space="preserve">The Noble House acquisition was funded using cash on hand from operations. </w:t>
      </w:r>
      <w:r>
        <w:rPr>
          <w:rFonts w:ascii="Times New Roman;sans-serif" w:hAnsi="Times New Roman;sans-serif"/>
          <w:b w:val="false"/>
          <w:color w:val="000000"/>
          <w:sz w:val="20"/>
        </w:rPr>
        <w:t xml:space="preserve">The acquisition added valuable assets, including but not limited to, inventory, warehouse leases, intangible assets including technology assets, and other assets which can be further utilized and to supplement our B2B ecommerce ecosystem.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Noble House added six warehouses with approximately 2.4 million square feet of warehouse space to our warehousing network in the U.S., and one warehouse with approximately 0.1 million square feet of warehouse space in Canada. We also increased the number of product SKUs, particularly in outdoor furnishings, to our GigaCloud Marketplace through this acquisition. We plan to utilize Noble House’s footprint to broaden our supplier base into India and expand our service end market into Canada, attracting more sellers and buyers to our Marketplace. We believe the Noble House acquisition would contribute additional sales channels and business relationships to further complement our B2B ecommerce ecosystem.</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we completed the acquisition of a 100% equity interest of Apexis, Inc., a Florida corporation dba Wondersign, or Wondersign, for an aggregate purchase price of approximately $10.0 million. The Wondersign acquisition was funded using cash on hand from operations. Wondersign is a cloud-based interactive digital signage and e-catalog management SaaS company headquartered in Tampa, Florida. Wondersign specializes in developing and maintaining the acclaimed “Catalog Kiosk” digital catalog software, empowering retailers to showcase an extensive range of products and enhance the engagement with today's omni-channel shoppers. With its extensive retailer customer base, Wondersign has access to thousands of storefronts across the United States. We believe that acquiring Wondersign would contribute to our objective of transforming GigaCloud Marketplace into a user-friendly platform that seamlessly connects with customers, ensuring an exceptional experience for both platform participants and retail store patrons.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built the GigaCloud Marketplace to democratize access and distribution globally so that manufacturers, who are typically sellers in our marketplace, and online resellers, who are typically buyers in our marketplace, can transact without borders. Manufacturers view our marketplace as an essential sales channel to thousands of online resellers in the U.S., Asia and Europe. Our GigaCloud Marketplace enables manufacturers to deliver their products around the world. Additionally, online resellers may lack the resources and infrastructure to manage a global supply chain and support international distribution. Our integrated ecommerce solutions allow online resellers to offer products and services comparable to those offered by large ecommerce platforms by giving them access to a large and growing catalog of products at wholesale prices, supported by industry-leading global fulfillment capabilities.</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To enhance our marketplace experience, we sell our own products, or 1P products, through the GigaCloud Marketplace and to and through third-party ecommerce websites, such as Rakuten in Japan, and Amazon, Walmart, Home Depot, Overstock and Wayfair in the U.S. and OTTO in Germany. These 1P revenues expand our market presence, reduce inventory and logistics risk for suppliers, create more products for buyers, drive volume-based cost efficiencies for sourcing products, provide us with proprietary data and increase the velocity of sales on our marketplace. With the acquisition of Noble House, we further diversified the 1P product variety and offerings for our buyers. 1P revenues through the GigaCloud Marketplace and to and through third-party ecommerce websites represented 76.3%, 71.3% and 71.7%</w:t>
      </w:r>
      <w:r>
        <w:rPr>
          <w:color w:val="000000"/>
        </w:rPr>
        <w:t xml:space="preserve"> </w:t>
      </w:r>
      <w:r>
        <w:rPr>
          <w:rFonts w:ascii="Times New Roman;sans-serif" w:hAnsi="Times New Roman;sans-serif"/>
          <w:b w:val="false"/>
          <w:color w:val="000000"/>
          <w:sz w:val="20"/>
        </w:rPr>
        <w:t xml:space="preserve">of total revenues in 2021, 2022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 cross-border fulfillment network optimized for large parcel products. We operate warehouses in five countries in the U.S., Japan, the U.K., Germany and Canada, with the U.S. being our largest market. As of December 31, 2023, we operate 33 large-scale warehouses around the world totaling approximately 8.2 million square feet of storage space, covering seven ports of destination with approximately 17,000 annual containers, and have an extensive shipping and trucking network via partnerships with major shipping, trucking and freight service providers. By servicing the entire supply chain, we offer sellers and buyers in our marketplace enhanced visibility into product inventory, reducing turnover time and transaction costs. On average, we are able to deliver products to end customers within one week of their order and at a fixed rate that is cheaper than standard rates from FedEx and UPS.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AI software that generates seller ratings and credit profiles through volume data. Additionally, our AI optimizes routing by organizing incoming orders and rebalancing inventory levels within our warehousing network. Our software platform includes flexible trading tools with which sellers can set prices based on quantities, delivery dates and fulfillment methods, and buyers have the option to purchase merchandise individually or in bulk.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our proprietary data and AI to accelerate the network effects in our marketplace. As our marketplace grows, we accumulate user and product data to develop analytical and predicative tools such as product sales forecasts. This information is valuable to our sellers as it allows them to efficiently manage inventory and pricing. As sellers succeed in our marketplace, more sellers join, which expands our merchandise offerings. Our broad merchandise selection, competitive pricing and virtual warehousing capabilities encourage buyers to join and transact in our marketplace. More buyer activity leads to more sellers, creating a virtuous cycle.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2021, we had 382 active 3P sellers and 3,566 active buyers in our GigaCloud Marketplace, representing a year-over-year increase of 81.9% and 111.1%, respectively. In 2021, our users transacted $414.2 million of GigaCloud Marketplace GMV with an average spend per buyer of $116,150. This is a 117.4% year-over-year increase in GigaCloud Marketplace GMV and a 3.0% year-over-year increase in average spend per buyer from 2020, respectively. Combined with off-platform e-commerce GMV of $127.6 million, the total transactions that we facilitated aggregated a GMV of $541.8 million in 2021. 3P Seller GigaCloud Marketplace GMV was $156.9 million in 2021, represented 37.9%, of total GigaCloud Marketplace GMV in 2021.</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2022, we had 560 active 3P sellers and 4,156 active buyers in our GigaCloud Marketplace, representing a year-over-year increase of 46.6% and 16.5%, respectively. In 2022, our users transacted $518.2 million of GigaCloud Marketplace GMV with an average spend per buyer of $124,692. This is a 25.1% year-over-year increase in GigaCloud Marketplace GMV and a 7.4% year-over-year increase in average spend per buyer from 2021, respectively. Combined with off-platform e-commerce GMV of $117.8 million, the total transactions that we facilitated aggregated a GMV of $636.0 million in 2022, representing a 17.4% increase in GMV year-over-year from 2021. 3P Seller GigaCloud Marketplace GMV was $257.7 million in 2022, represented 49.7% of total GigaCloud Marketplace GMV in 2022.</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2023, we had 815 active 3P sellers and 5,010 active buyers in our GigaCloud Marketplace, representing a year-over-year increase of 45.5% and 20.5%, respectively. In 2023, our users transacted $794.4 million of GigaCloud Marketplace GMV with an average spend per buyer of $158,569. This is a 53.3% year-over-year increase in GigaCloud Marketplace GMV and a 27.2% year-over-year increase in average spend per buyer from 2022, respectively. Combined with off-platform e-commerce GMV of $204.6 million, the total transactions that we facilitated aggregated a GMV of $999.1 million in 2023, representing a 57.1% increase in GMV year-over-year from 2022. 3P Seller GigaCloud Marketplace GMV was $426.3 million in 2023, represented 53.7% of total GigaCloud Marketplace GMV in 2023.</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experienced significant growth over the last three years: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We generated total revenues of $414.2 million in 2021, $490.1 million in 2022 and $703.8 million in 2023, representing a 18.3% growth from 2021, and a 43.6% growth from 2022;</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We generated gross profit of $89.6 million in 2021, $83.1 million in 2022 and $188.6 million in 2023, representing 21.6%, 17.0% and 26.8% of total revenues, respectively;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Our net income was $29.3 million in 2021, $24.0 million in 2022 and $94.1 million in 2023; and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Our Adjusted EBITDA was $48.0 million in 2021, $41.8 million in 2022 and $118.3 million in 2023.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“Item 7. Management’s Discussion and Analysis of Financial Condition and Results of Operation——Non-GAAP Financial Measures” for information regarding our use of Adjusted EBITDA and a reconciliation of net income to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impact from the acquisitions of Noble House and Wondersign was reflected in our financial results in the fourth quarter and full year of 2023. The operating impact from these acquisitions has not been reflected in the operating metrics in our GigaCloud Marketplace in this annual report.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summary of our key financial and operating metrics for the periods indicated: </w:t>
      </w:r>
    </w:p>
    <w:tbl>
      <w:tblPr>
        <w:tblW w:w="8757" w:type="dxa"/>
        <w:jc w:val="center"/>
        <w:tblInd w:w="0" w:type="dxa"/>
        <w:tblLayout w:type="fixed"/>
        <w:tblCellMar>
          <w:top w:w="28" w:type="dxa"/>
          <w:left w:w="28" w:type="dxa"/>
          <w:bottom w:w="28" w:type="dxa"/>
          <w:right w:w="28" w:type="dxa"/>
        </w:tblCellMar>
      </w:tblPr>
      <w:tblGrid>
        <w:gridCol w:w="1672"/>
        <w:gridCol w:w="1472"/>
        <w:gridCol w:w="1476"/>
        <w:gridCol w:w="211"/>
        <w:gridCol w:w="826"/>
        <w:gridCol w:w="109"/>
        <w:gridCol w:w="109"/>
        <w:gridCol w:w="109"/>
        <w:gridCol w:w="109"/>
        <w:gridCol w:w="211"/>
        <w:gridCol w:w="826"/>
        <w:gridCol w:w="109"/>
        <w:gridCol w:w="109"/>
        <w:gridCol w:w="109"/>
        <w:gridCol w:w="109"/>
        <w:gridCol w:w="211"/>
        <w:gridCol w:w="826"/>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GigaCloud Marketplace: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GigaCloud Marketplace GMV (in $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3P sellers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buyers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Spend per active buyer (in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36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3P seller GigaCloud Marketplace GMV(in $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facilitating B2B ecommerce transactions in our GigaCloud Marketplace. We generate revenues primarily through three revenue streams: </w:t>
      </w:r>
    </w:p>
    <w:p>
      <w:pPr>
        <w:pStyle w:val="TextBody"/>
        <w:bidi w:val="0"/>
        <w:spacing w:lineRule="auto" w:line="288" w:before="240" w:after="283"/>
        <w:ind w:left="0" w:right="0" w:hanging="576"/>
        <w:jc w:val="left"/>
        <w:rPr/>
      </w:pPr>
      <w:r>
        <w:rPr>
          <w:color w:val="000000"/>
        </w:rPr>
        <w:t>•</w:t>
      </w:r>
      <w:r>
        <w:rPr>
          <w:rFonts w:ascii="Times New Roman;sans-serif" w:hAnsi="Times New Roman;sans-serif"/>
          <w:b/>
          <w:i/>
          <w:color w:val="000000"/>
          <w:sz w:val="20"/>
        </w:rPr>
        <w:t>GigaCloud 3P</w:t>
      </w:r>
      <w:r>
        <w:rPr>
          <w:rFonts w:ascii="Times New Roman;sans-serif" w:hAnsi="Times New Roman;sans-serif"/>
          <w:b w:val="false"/>
          <w:color w:val="000000"/>
          <w:sz w:val="20"/>
        </w:rPr>
        <w:t xml:space="preserve">: generates service revenues, including platform commission, ocean transportation service, warehousing service, last-mile delivery service, packaging service and others, by facilitating transactions between sellers and buyers in our marketplace.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i/>
          <w:color w:val="000000"/>
          <w:sz w:val="20"/>
        </w:rPr>
        <w:t>GigaCloud 1P</w:t>
      </w:r>
      <w:r>
        <w:rPr>
          <w:rFonts w:ascii="Times New Roman;sans-serif" w:hAnsi="Times New Roman;sans-serif"/>
          <w:b w:val="false"/>
          <w:color w:val="000000"/>
          <w:sz w:val="20"/>
        </w:rPr>
        <w:t xml:space="preserve">: generates product revenues through the sale of our inventory in our marketplace.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i/>
          <w:color w:val="000000"/>
          <w:sz w:val="20"/>
        </w:rPr>
        <w:t>Off-platform Ecommerce</w:t>
      </w:r>
      <w:r>
        <w:rPr>
          <w:rFonts w:ascii="Times New Roman;sans-serif" w:hAnsi="Times New Roman;sans-serif"/>
          <w:b w:val="false"/>
          <w:color w:val="000000"/>
          <w:sz w:val="20"/>
        </w:rPr>
        <w:t xml:space="preserve">: generates product revenues through the sale of our inventory to and through third-party ecommerce websites.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GMV from GigaCloud 3P and GigaCloud 1P together make up our GigaCloud Marketplace GMV, and GMV from off-platform ecommerce and GigaCloud Marketplace GMV together make up our total GMV across the platforms. These three revenue streams complement each other to improve our value proposition to sellers and buyers in our GigaCloud Marketplace. Noble House primarily contributes product revenues to our off-platform ecommerce revenue streams, while Wondersign primarily contributes service revenues from its catalog subscription services, and other product revenues from the sales of its Catalog Kiosk display units.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GigaCloud Marketplace, our global B2B ecommerce platform, integrates everything from product discovery to payments to logistics tools into one easy-to-use platform. Sellers and buyers from our targeted markets around the world leverage our cross-border fulfillment network, which is optimized for large parcel products, in order to trade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other while saving costs. Underpinned by a network of strategically placed warehouses and supply chain capabilities, our marketplace is designed to simplify and mitigate logistics and inventory requirements for both our sellers and buyers.</w:t>
      </w:r>
    </w:p>
    <w:p>
      <w:pPr>
        <w:pStyle w:val="TextBody"/>
        <w:bidi w:val="0"/>
        <w:spacing w:before="240" w:after="283"/>
        <w:ind w:left="0" w:right="0" w:firstLine="1102"/>
        <w:jc w:val="center"/>
        <w:rPr/>
      </w:pPr>
      <w:r>
        <w:rPr/>
        <w:drawing>
          <wp:inline distT="0" distB="0" distL="0" distR="0">
            <wp:extent cx="5667375" cy="31813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5667375" cy="3181350"/>
                    </a:xfrm>
                    <a:prstGeom prst="rect">
                      <a:avLst/>
                    </a:prstGeom>
                  </pic:spPr>
                </pic:pic>
              </a:graphicData>
            </a:graphic>
          </wp:inline>
        </w:drawing>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GigaCloud 3P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GigaCloud 3P, we derive service revenues through the various activities of sellers and buyers in our GigaCloud Marketplace, which result in revenues from platform commission, ocean transportation service, warehousing service, last-mile delivery service, packaging service and others. When a seller and buyer enter into a transaction in GigaCloud Marketplace, we generate revenues from platform commission by earning a percentage commission depending on the transaction value. The standard commission ranges between 1% and 5% depending on the size of the transaction. We charge fees for ocean transportation services such as delivery of products via ocean and other modes of transportation, warehousing fees in connection with the storage of products in our warehouses, and last-mile delivery fees if the buyer requires last-mile delivery services. We also charge packaging fees in connection with merchandise that we pack and ship. In 2021, 2022 and 2023, from time to time, when we had excess fulfillment capacity, we utilized such excess fulfillment capacity and our extensive logistics network to offer third-party logistics services to customers to help fulfill their large parcel transportation needs. Given the growth of our marketplace, moving forward, we expect to use our fulfillment capacity predominantly for GigaCloud Marketplace customers, only offering separate third-party logistics services to optimize utilization. As we continue to grow our GigaCloud Marketplace, we expect to dedicate our logistics capacity to products sold on our own marketplace, and will opportunistically provide third-party logistics services when there is excess capacity within our network.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GigaCloud 1P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GigaCloud 1P, we further enhance our marketplace experience by selling our own inventory. Our 1P business creates more products for buyers, gives us insights into seller needs, provides us with proprietary data and increases the velocity of sales in our marketplace. Our GigaCloud 1P business generates revenues from product sales.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Off-platform Ecommerce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facilitating transactions in our GigaCloud Marketplace, we also procure highly rated products directly from manufacturers and sell them directly to and through third-party websites such as Rakuten, Amazon, Walmart, Wayfair, Home Depot and OTTO as part of our off-platform ecommerce business. Off-platform ecommerce sales deepen our relationships with sellers and provide us with proprietary data. Our off-platform ecommerce business generates revenues from product sales to both end customers and third-party ecommerce websites.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Segment</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 of internal reporting and management's operation review, we do not segregate our business by revenue stream or geography. Our management has determined that our company has one operating segment. See Note 2, Segment Reporting, in the notes to the consolidated financial statements included elsewhere in this annual report.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Sellers and Buyers </w:t>
      </w:r>
    </w:p>
    <w:p>
      <w:pPr>
        <w:pStyle w:val="TextBody"/>
        <w:bidi w:val="0"/>
        <w:spacing w:lineRule="auto" w:line="288" w:before="120" w:after="283"/>
        <w:ind w:left="0" w:right="0" w:firstLine="1102"/>
        <w:jc w:val="left"/>
        <w:rPr/>
      </w:pPr>
      <w:r>
        <w:rPr>
          <w:rFonts w:ascii="Times New Roman;sans-serif" w:hAnsi="Times New Roman;sans-serif"/>
          <w:b w:val="false"/>
          <w:color w:val="000000"/>
          <w:sz w:val="20"/>
        </w:rPr>
        <w:t>In 2021, 2022 and 2023, GigaCloud Marketplace had 382, 560 and 815 active 3P sellers, respectively, and 3,566, 4,156 and 5,010 active buyers, respectively. Sellers in our marketplace are typically manufacturers based in Asia, who are able to leverage our supply chain capabilities to establish overseas sales channels without having to invest in their own logistics, as well as decouple from intermediaries. The buyers in our marketplace are typically resellers based in the U.S., Asia and Europe that procure products at wholesale prices and subsequently sell on third-party B2C platforms.</w:t>
      </w:r>
      <w:r>
        <w:rPr>
          <w:color w:val="000000"/>
        </w:rPr>
        <w:t xml:space="preser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open-ended framework agreements, terminable by notice from either party, with the manufacturers that act as 3P sellers in our GigaCloud Marketplace that entitle us to a commission on sales, as well as warehousing and logistics fees for storage and shipping across our network. The standard commission ranges between 1% and 5% depending on the size of the transaction. The buyers, or resellers, in our GigaCloud Marketplace must agree to our standard terms in order to maintain an account and place orders on our platform.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as more manufacturers join our marketplace as sellers, more resellers will join our marketplace as buyers. Our GigaCloud 1P and off-platform ecommerce business accelerate this virtuous cycle by adding sellers and buyers into our ecosystem.</w:t>
      </w:r>
    </w:p>
    <w:p>
      <w:pPr>
        <w:pStyle w:val="TextBody"/>
        <w:bidi w:val="0"/>
        <w:spacing w:before="240" w:after="283"/>
        <w:jc w:val="center"/>
        <w:rPr/>
      </w:pPr>
      <w:r>
        <w:rPr/>
      </w:r>
    </w:p>
    <w:p>
      <w:pPr>
        <w:pStyle w:val="TextBody"/>
        <w:bidi w:val="0"/>
        <w:spacing w:before="360" w:after="283"/>
        <w:jc w:val="center"/>
        <w:rPr/>
      </w:pPr>
      <w:r>
        <w:rPr/>
        <w:drawing>
          <wp:inline distT="0" distB="0" distL="0" distR="0">
            <wp:extent cx="6286500" cy="348615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6286500" cy="3486150"/>
                    </a:xfrm>
                    <a:prstGeom prst="rect">
                      <a:avLst/>
                    </a:prstGeom>
                  </pic:spPr>
                </pic:pic>
              </a:graphicData>
            </a:graphic>
          </wp:inline>
        </w:drawing>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Value Proposition to Sellers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lower the barriers to entry for sellers in our marketplace so that they are able to quickly gain access to the key global markets in which we operate, including the U.S., the U.K., Germany, Japan and Canada. Sellers can directly connect with resellers in our marketplace and leverage our supply chain capabilities to establish overseas sales channels without having to invest in their own logistics infrastructure. We manage the entire logistics process from the moment the product leaves the factory floor, and simplify the process by offering a flat rate program for shipping and handling. Leveraging our algorithm, we determine when and where to ship a product, reduce the amount of time a product is handled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select the most effective delivery mechanism for the product. Sellers are able to leverage our warehouse space, which we charge on a per cubic foot per day basis, in order to increase warehouse utilization rates and reduce cost. Our platform provides multiple channels through which sellers can sell their products, enhancing their inventory turnover rate and increasing their profitability. Many of the sellers operating in our GigaCloud Marketplace were originally suppliers of our inventory that later joined the GigaCloud Marketplace as 3P sellers.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an on-site service for U.S. sellers who have their own warehouses to sell in our GigaCloud Marketplace by directly delivering products to end customers using our logistics and transportation network without the need to relocate inventory from their own warehouses to our warehouses. Our on-site service provides an attractive way for U.S. sellers to distribute products, as well as driving the increases in both the number of sellers and our GigaCloud Marketplace GMV.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unveiled our private domain feature for sellers on our B2B GigaCloud Marketplace. Users of GigaCloud Marketplace can now share their products with existing or potential customers via a personal GigaCloud web-hosted platform. As a value-added service, this private domain is designed to provide marketplace sellers the flexibility of sharing all their listings available in the GigaCloud Marketplace without customers viewing the products from other sellers. Buyers (i.e., resellers) will be required to sign up for a GigaCloud Marketplace account in order to view the products and prices set by sellers on such private domain. However, buyers will not be able to see the product listings or prices offered by other sellers if buyers log into GigaCloud Marketplace under the account from the private domain. The private domain service provides an organized platform for sellers to integrate their distribution channels into one easy-to-use website.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Value Proposition to Buyers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marketplace offers one-stop-shop logistics solutions for a broad catalog of large parcel products sourced globally. We offer virtual warehousing and multiple fulfillment solutions including cloud courier, cloud wholesale fulfillment, white glove and drop shipping solutions, so that buyers do not need to manage physical order fulfillment. With 33 large-scale warehouses strategically positioned in key markets around the world, we have the capability to reach over 90% of customers in the lower 48 states in the U.S. within an average of three days of delivery time. Our solution effectively minimizes inventory risk for buyers and allows them to reach customers across geographies at an affordable price.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provide buyers the option to pre-sell products through their own channels before placing an order in GigaCloud Marketplace. This significantly reduces buyers’ working capital needs and allows them to scale more efficiently.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Logistics Network and Value-added Services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Warehousing Network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set up our local infrastructure in the U.S. strategically such that we are close to ports and customers, shortening delivery time to the end customers. As of December 31, 2023, we have four key operating centers in California, Georgia, New Jersey and Texas, covering 24 warehouses and seven ports of destination in the U.S., totaling over 7.4 million square feet. Among the warehouses in the U.S., six were acquired from Noble House, totaling approximately 2.4 million square feet. Outside the U.S., we have two warehouses and two ports of destination in the U.K., two warehouse and two port of destination in Germany, four warehouses and one port of destination in Japan, and one warehouse and one port of destination in Canada through the Noble House acquisition, all together totaling over 0.7 million square feet.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March 9, 2024, one of our warehouses in Japan, suffered damages due to a warehouse fire. While we are still evaluating the impact caused by the warehouse fire, we estimated approximately $1.8 million in damages with respect to the cost of our inventory held at the warehouse. We have insurance coverage associated with the damages to the inventory and warehouse equipment. Furthermore, we have a total of four warehouses in Japan and we have shifted our warehouse operations in Japan to the other three warehouses to minimize any disruptions to our operations in Japan.</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AI and data analytics to determine optimal distribution of inventory among our warehouses under a unified warehouse management system and provide a virtual warehousing solution for sellers and buyers in our marketplace. Our AI-powered warehousing management system solves the many practical problems faced by sellers and buyers in connection with complex, cross-border transactions involving large parcel goods.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Transportation Network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delivery of goods from suppliers, we engage our extensive shipping network consisting of major ocean transportation providers covering 13 ports of destination with approximately 17,000 annual containers, and a trucking network in partnership with major trucking and freight service providers. We also utilize shipping and delivery services from major carrier such as Fedex, UPS and other service providers to supplement our transportation network and shipping requirements.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last-mile delivery of bulk merchandise (over 150 pounds) and installation services to end customers, which we self-operate. These services are available in nine metro markets in the U.S., and we plan to expand coverage to other key metro markets. We also utilize a network of delivery providers for last-mile delivery throughout the U.S. and other markets. We enter into agreements with the trucking and freight service providers we partner with for terms of three to five years, during which they provide their services to us at certain tiered discounts depending on the volume we achieve, which we have the option of renegotiating if we exceed anticipated volumes.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Sourcing Network</w:t>
      </w:r>
    </w:p>
    <w:p>
      <w:pPr>
        <w:pStyle w:val="TextBody"/>
        <w:bidi w:val="0"/>
        <w:spacing w:lineRule="auto" w:line="288" w:before="120" w:after="283"/>
        <w:ind w:left="0" w:right="0" w:firstLine="1102"/>
        <w:jc w:val="left"/>
        <w:rPr/>
      </w:pPr>
      <w:r>
        <w:rPr>
          <w:rFonts w:ascii="Times New Roman;sans-serif" w:hAnsi="Times New Roman;sans-serif"/>
          <w:b w:val="false"/>
          <w:color w:val="000000"/>
          <w:sz w:val="20"/>
        </w:rPr>
        <w:t>We have 149 employees in mainland China, Vietnam and Malaysia</w:t>
      </w:r>
      <w:r>
        <w:rPr>
          <w:color w:val="000000"/>
        </w:rPr>
        <w:t xml:space="preserve"> </w:t>
      </w:r>
      <w:r>
        <w:rPr>
          <w:rFonts w:ascii="Times New Roman;sans-serif" w:hAnsi="Times New Roman;sans-serif"/>
          <w:b w:val="false"/>
          <w:color w:val="000000"/>
          <w:sz w:val="20"/>
        </w:rPr>
        <w:t>who source products from manufacturers throughout Asia. This helps accelerate the supply on our GigaCloud Marketplace and attract buyers that lack the network and sourcing capabilities that we have to our marketplace. In addition, we buy inventory from these suppliers for our off-platform ecommerce. As of December 31, 2023, we sourced merchandise from more than 1,000 suppliers for our GigaCloud 1P and off-platform ecommerce.</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The chart below summarizes our sourcing network described above as of December 31, 2023:</w:t>
      </w:r>
      <w:r>
        <w:rPr>
          <w:color w:val="000000"/>
        </w:rPr>
        <w:t xml:space="preserve"> </w:t>
      </w:r>
    </w:p>
    <w:p>
      <w:pPr>
        <w:pStyle w:val="TextBody"/>
        <w:bidi w:val="0"/>
        <w:spacing w:before="240" w:after="283"/>
        <w:jc w:val="center"/>
        <w:rPr/>
      </w:pPr>
      <w:r>
        <w:rPr/>
        <w:drawing>
          <wp:inline distT="0" distB="0" distL="0" distR="0">
            <wp:extent cx="5810250" cy="46863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5810250" cy="46863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Marketplace Transactions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GigaCloud Marketplace enables suppliers and buyers to transact with each other, including setting their own optional and customizable margin and rebate offerings. We charge a fee for each transaction in our GigaCloud Marketplace based on the transaction value and shipping fees. We also sell 1P products directly on GigaCloud Marketplace.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1P Pricing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1P sales, our pricing team approaches pricing scientifically and algorithmically, by applying data and analytics to set our pricing. We use data on competitive behavior, historical sales, seasonality and inventory levels to appropriately price our products. We also engage in market research and branding analysis, as well as taking into account our estimated costs in order to control our margins. We believe our technological skills and capabilities enable us to offer competitive prices for our products.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Payment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customers with a number of payment options including bank transfers, online payments with credit cards and debit cards issued by major banks, and payment through major third-party online payment platforms, such as Alipay, Payoneer and others. Our customers can also use account balances in our GigaCloud Marketplace accumulated from deposits or prior refunds to make future purchases.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1P Inventory Management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one of the industry-leading large parcel inventory turnover rates for our own inventory of 77 days for 2023, 71 days for 2022 and 65 days in 2021. We use AI and data science to help with inventory management, including deciding when to place orders and in what quantities. Our 1P products in 2023 included furniture, accounting for more than 92.0% of GigaCloud Marketplace GMV, fitness equipment, accounting for approximately 3.0% of GigaCloud Marketplace GMV, and various other products including outdoor garden equipment, luggage, pet products and others accounting for approximately 5.0% of GigaCloud Marketplace GMV.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Warranties and Refunds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1P products procured and sold in the GigaCloud Marketplace, we provide 90-day warranties.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defective products sold in our GigaCloud Marketplace, our product managers determine refunds based on evidence provided by the buyer, such as pictures, screenshots and emails. We initially provide eligible refunds to the buyer, then recover the amount refunded from the suppliers under our purchase agreements. We do not offer exchange or return policies due to the nature of the large parcel merchandise sold in our marketplace.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Precision Software Platform and Technology Infrastructure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in-house team of over 260 IT personnel. We also have personnel who worked to build our own GigaCloud Marketplace and AI algorithms from scratch, which gives us full control over our source code. We have developed our platform to be scalable as our business expands and interoperable with external systems through an open API.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gather talents from various departments to perform our research and development functions, including engineering, programming, data analytics, and product development personnel responsible for the design, development, and testing of our GigaCloud Marketplace. As of December 31, 2023, we have approximately 280 employees who contributed to our research and development functions.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AI Algorithm and Data Analysis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in-house reinforcement learning algorithms are built to optimize our inventory management across our multiple warehouses around the world, analyzing historical data to determine how to manage our inventory and even where to establish our next warehouse. Our algorithm also accounts for the fragility of certain types of inventory and reduces the number of times a product is moved. Each time a product is handled, there is an increased chance of damage, and our algorithm helps to reduce this inherent risk when handling inventory in the home furnishing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create sales analytics and provide them to our sellers for a fee. The services provide meaningful value to our sellers bringing products to new markets and support a high retention rate. Additionally, we leverage the data collected on each seller’s inventory, sales history and performance to establish a credit profile under our supply chain financing program.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Trading Platform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have built a cross-border ecommerce trading platform based upon three layers—(i) our foundation layer, which consists of basic services such as single login system access, micro-service management system and data synchronization/back services, as well as a financial management module including financial statement, accounting and settlement systems, (ii) our service layer, which includes our stock management system, warehouse management system and bulk merchandise transportation system, and (iii) our application layer, which consists of a variety of customer-facing value-added features.</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Our foundation layer provides the basic security features for our logistics business by segregating basic functions as individual services in order to maximize our flexibility and scalability. Our service layer drives our day-to-day operations, including key support systems such as:</w:t>
      </w:r>
      <w:r>
        <w:rPr>
          <w:color w:val="000000"/>
        </w:rPr>
        <w:t xml:space="preserve">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our ERP Stock Management System</w:t>
      </w:r>
      <w:r>
        <w:rPr>
          <w:rFonts w:ascii="Times New Roman;sans-serif" w:hAnsi="Times New Roman;sans-serif"/>
          <w:b w:val="false"/>
          <w:color w:val="000000"/>
          <w:sz w:val="20"/>
        </w:rPr>
        <w:t xml:space="preserve">, a system capable of gathering and processing orders and procurement and delivery management data to allow for real-time, dynamic stock management as well as technical support for the business development of ecommerce companies;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our Warehouse Management System</w:t>
      </w:r>
      <w:r>
        <w:rPr>
          <w:rFonts w:ascii="Times New Roman;sans-serif" w:hAnsi="Times New Roman;sans-serif"/>
          <w:b w:val="false"/>
          <w:color w:val="000000"/>
          <w:sz w:val="20"/>
        </w:rPr>
        <w:t xml:space="preserve">, a warehouse management system with server-side management software and mobile scanning application, used in day-to-day inventory management operations including storage, receiving and shipping of bulky goods;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our Delivery Resource Plan System</w:t>
      </w:r>
      <w:r>
        <w:rPr>
          <w:rFonts w:ascii="Times New Roman;sans-serif" w:hAnsi="Times New Roman;sans-serif"/>
          <w:b w:val="false"/>
          <w:color w:val="000000"/>
          <w:sz w:val="20"/>
        </w:rPr>
        <w:t xml:space="preserve">, a white glove order delivery system consolidating orders from various channels both domestically and abroad, and integrating with foreign logistics providers to provide a unified system in order to support our multiple logistics models such as drop shipping, door-to-door pickup, cloud delivery and Walmart-S2S, fulfilling the highest standards of overseas ecommerce logistics such as SFP and FBA Onsite; and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our Giga Bulk Merchandise Transportation System</w:t>
      </w:r>
      <w:r>
        <w:rPr>
          <w:rFonts w:ascii="Times New Roman;sans-serif" w:hAnsi="Times New Roman;sans-serif"/>
          <w:b w:val="false"/>
          <w:color w:val="000000"/>
          <w:sz w:val="20"/>
        </w:rPr>
        <w:t xml:space="preserve">, a system for real-time, dynamic management of inventory through order management, returns management, transfer management and fleet distribution management.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 features of our application layer include our B2B Inbound Supply Chain Management Module, B2B trading platform (GigaCloud Marketplace), multi-channel global order management module and GigaCloud’s B2B Peripheral System. The goal of these customer-facing applications is to mimic the real-life transactions that sellers and buyers are used to seeing. Our suite of applications cover a full range of capabilities, from sourcing management, inbound management, trade and settlement management, hybrid/complex trading management, search and recommendation management and financial reporting requirements. We offer a user-friendly platform for users to have a holistic view of their business from beginning to end. To support external service providers, we also adopt an open API to allow integration with all major software protocols.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Network Infrastructure </w:t>
      </w:r>
    </w:p>
    <w:p>
      <w:pPr>
        <w:pStyle w:val="TextBody"/>
        <w:bidi w:val="0"/>
        <w:spacing w:lineRule="auto" w:line="288" w:before="120" w:after="283"/>
        <w:ind w:left="0" w:right="0" w:firstLine="1102"/>
        <w:jc w:val="left"/>
        <w:rPr/>
      </w:pPr>
      <w:r>
        <w:rPr>
          <w:rFonts w:ascii="Times New Roman;sans-serif" w:hAnsi="Times New Roman;sans-serif"/>
          <w:b w:val="false"/>
          <w:color w:val="000000"/>
          <w:sz w:val="20"/>
        </w:rPr>
        <w:t>We designed our data and network infrastructure for scalability and reliability to support the rapid user base growth in our marketplace. As of December 31, 2023, we have more than 320 servers hosted in five Internet data centers in the U.S., mainland China, Hong Kong, Japan and Europe, which contribute significantly to the scale and reliability of our services. Due to the use of cloud computing technology, the amount of bandwidth we lease is flexibly expandable to handle a surge in the number of concurrent users in the GigaCloud Marketplace at peak times.</w:t>
      </w:r>
      <w:r>
        <w:rPr>
          <w:color w:val="000000"/>
        </w:rPr>
        <w:t xml:space="preserv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building a leading global trade service provider, powering our B2B GigaCloud platform in providing online and offline integrated cross-border transaction and delivery services for furniture and large merchandise. We employ a variety of methods to promote our services and attract potential customers, merchants and other platform participants. After the acquisition of Wondersign, we offer digital catalog services for suppliers and sellers to display their full range of products in the traditional brick-and-mortar stores to enhance the sales services. As of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31, 2023, we also have a sales team consisting of 190 sales representatives in locations around the world who source products for our product sales as well as bring in resellers and manufacturers to our GigaCloud Marketplace.</w:t>
      </w:r>
      <w:r>
        <w:rPr>
          <w:color w:val="000000"/>
        </w:rPr>
        <w:t xml:space="preserv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Customer Service and Support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 service team consists of 64 customer service representatives based in China and the U.S. as of December 31, 2023. Our representatives are available seven days a week by phone, email and live chat. By helping customers navigate our sites, answering their questions and completing their orders, this team helps us build trust with customers, build our brand awareness, enhance our reputation and drive sales.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“Item 7. Management’s Discussion and Analysis of Financial Condition and Results of Operation—Key Factors Affecting Our Results of Operations—Seasonality.”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 Management and Compliance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Platform Monitoring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Preserving the integrity of our GigaCloud Marketplace is a primary focus of our operations. We employ a dedicated team that monitors transactions in our marketplace to identify abnormal or fraudulent activity, such as large deviations in pricing, abuse of our flat rate shipping policy and counterfeit products, as well as general complaints submitted in our marketplace. We limit the activities of sellers and buyers who have historically been involved in fraudulent transactions in our marketplace, and for particularly egregious violations, we reserve the right to refuse service and demand the removal of a seller’s inventory where applicable. We also have dynamic password protection and real-time login activity monitoring to further authenticate sellers and buyers in our marketplace.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strictly enforce our anti-fraud and prevention of misuse measures. For example, we require our customers to provide identification documents such as identification cards and business licenses to authenticate their identity and require them to enter a passcode for the electronics to prevent fraud. We also do not show the prices of products sold in our marketplace without users registering and logging onto the system to ensure that only registered sellers and buyers transact in a fair and secure marketplace.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Product Quality and Safety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purchasing product liability insurance for our 1P products, we have established a unified product inspection system for products sold in our 1P business to ensure product quality and safety. Our inspection standards include packaging drop tests, box marking printing accuracy checks, product color checks, packaging and product dimensions, assembly, packaging details and packaging images. We also actively monitor the products listed in our GigaCloud Marketplace to proactively identify and remove suspicious listings or potentially counterfeit products. We take a broad range of measures to prevent counterfeit products in our marketplace to protect the sellers and buyers in our marketplace, including actively identifying and taking down counterfeit products and providing complaint channels for sellers and buyers to report infringement. If allegations of counterfeit goods or fraudulent transactions are verified, we may take various actions including immediate delisting of the relevant products, arranging for the seller to reimburse the buyer and imposing restrictions on the seller’s ability to list new products or participate in promotional activities in our marketplace. We also cooperate with brands and judicial authorities in connection with investigations into violations of intellectual property.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maintain a “zero-tolerance” policy for counterfeit goods and fraudulent transactions in our marketplace, we also protect sellers in our marketplace from false allegations and fictitious complaints, with procedures in place to verify allegations and complaints, and we allow sellers who have been accused of selling counterfeit products or engaging in fraudulent transactions up to two days to refute allegations and provide evidence of the authenticity of their products and transactions.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Data Privacy and Security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a vast amount of data that are related to our business. We are committed to protecting the privacy and security of such data. We have established and implemented a platform-wide policy on data collection, processing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usage. We have adopted data protection policies designed to help maintain the security of proprietary and sensitive data, and employed a data security team of engineers and technicians who support our efforts to protect such data. To help promote data security and mitigate the risk of data leakage, we require each department to assign a dedicated individual to oversee data protection and confidentiality, place restrictions on connecting internal local computers to external storage media and network sharing, implement certain measures with respect to the control of confidential information designed to prevent copying, transferring and third-party access without prior authorization, and implement certain standards for off-site data backup and retrieval. We have a data management department to supervise our data privacy and protection policies and procedures and investigate and address possible threats or weaknesses. For more information, see “Item 1A. Risk Factors—Risks Related to Our Business and Industry—Our failure or the failure of third-party service providers on which we rely to protect our marketplace, networks and systems against cybersecurity incidents, or otherwise to protect our confidential information, could damage our reputation and substantially harm our business and operating results” and “Item 1A.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GigaCloud Marketplace, we compete with other ecommerce platforms on which sellers and buyers trade merchandise, particularly large parcel items. For 1P, the market for the online goods that we sell is highly competitive, fragmented and rapidly changing. We compete with other similar wholesalers.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ecommerce has been embraced by sellers and buyers around the world, the ecommerce market for large parcel items such as furniture and fitness equipment remains under penetrated due to the logistics challenges presented by large parcel items. Ecommerce poses high capital requirements for overhead expenditures to support business operations throughout the value chain, including the costs for establishing IT facilities, procuring products from upper-tier suppliers, renting and running warehouses, acquiring new users, as well as related logistics costs for delivery of products. Carrying out ecommerce business involves multiple technology capabilities, including but not limited to cloud computing, big data analytics, and artificial intelligence to create competitive advantages in business operations.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Intellectual Property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intellectual property, including any trademarks, copyrights, trade dress, trade secrets and technologies, is an important part of our business. Our success depends in part on our ability to obtain and maintain intellectual property and proprietary protection for our technology, defend and enforce our intellectual property rights, preserve the confidentiality of our trade secrets, and operate without infringing, misappropriating or otherwise violating valid and enforceable intellectual property and proprietary rights of others. To protect our intellectual property and proprietary information, we rely on a combination of trademark, copyright and trade secret laws and regulations, as well as contractual restrictions. We seek to protect our technology, in part, by requiring our employees, consultants, contractors and other third parties to execute confidentiality agreements and by implementing technological measures and other methods. </w:t>
      </w:r>
    </w:p>
    <w:p>
      <w:pPr>
        <w:pStyle w:val="TextBody"/>
        <w:bidi w:val="0"/>
        <w:spacing w:lineRule="auto" w:line="288" w:before="240" w:after="283"/>
        <w:ind w:left="0" w:right="0" w:firstLine="1102"/>
        <w:jc w:val="left"/>
        <w:rPr>
          <w:color w:val="000000"/>
        </w:rPr>
      </w:pPr>
      <w:r>
        <w:rPr>
          <w:rFonts w:ascii="Times New Roman;sans-serif" w:hAnsi="Times New Roman;sans-serif"/>
          <w:b w:val="false"/>
          <w:color w:val="000000"/>
          <w:sz w:val="20"/>
        </w:rPr>
        <w:t>We pursue the registration of our trademarks, including “GIGACLOUD LOGISTICS” and “</w:t>
      </w:r>
      <w:r>
        <w:rPr>
          <w:rFonts w:eastAsia="Times New Roman;sans-serif"/>
          <w:b w:val="false"/>
          <w:color w:val="000000"/>
          <w:sz w:val="20"/>
        </w:rPr>
        <w:t xml:space="preserve">大健云仓” </w:t>
      </w:r>
      <w:r>
        <w:rPr>
          <w:rFonts w:ascii="Times New Roman;sans-serif" w:hAnsi="Times New Roman;sans-serif"/>
          <w:b w:val="false"/>
          <w:color w:val="000000"/>
          <w:sz w:val="20"/>
        </w:rPr>
        <w:t xml:space="preserve">and certain variations thereon, copyrights and domain names in the U.S., China and certain foreign jurisdictions. We also acquired valuable intangible assets from the acquisitions of Noble House and Wondersign. As of December 31, 2023, we own 28 registered U.S. trademarks, 47 registered PRC trademarks, six registered Hong Kong trademarks, 41 registered foreign trademarks and 83 U.S. and foreign copyright registrations, primarily covering the software we have designed. We also rely on the protection of laws regarding unregistered copyrights for our software and certain other content we create. We will continue to evaluate the merits of applying for copyright registrations in the future. We also own 84 registered domain names. For more information, see “Item 1A. Risk Factors—Risks Related to Our Business and Industry—We may not be able to prevent others from unauthorized use of our intellectual property, which could harm our business and competitive position.”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Insurance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certain insurance policies to safeguard us against risks and unexpected events, including property damage and fire damages, as well as certain liability insurance for our warehouses, insurance coverage over goods in transit, employers’ insurance, product liability and commercial insurance. However, we do not maintain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interruption insurance, cybersecurity insurance or general third-party liability insurance, nor do we maintain key-man life insurance. We believe that we maintain insurance coverage in relation to our business that is customary for our industry.</w:t>
      </w:r>
    </w:p>
    <w:p>
      <w:pPr>
        <w:pStyle w:val="TextBody"/>
        <w:bidi w:val="0"/>
        <w:spacing w:lineRule="auto" w:line="288" w:before="0" w:after="0"/>
        <w:ind w:left="0" w:right="0" w:firstLine="1102"/>
        <w:jc w:val="left"/>
        <w:rPr>
          <w:rFonts w:ascii="Times New Roman;sans-serif" w:hAnsi="Times New Roman;sans-serif"/>
          <w:b/>
          <w:color w:val="000000"/>
          <w:sz w:val="20"/>
        </w:rPr>
      </w:pPr>
      <w:r>
        <w:rPr>
          <w:rFonts w:ascii="Times New Roman;sans-serif" w:hAnsi="Times New Roman;sans-serif"/>
          <w:b/>
          <w:color w:val="000000"/>
          <w:sz w:val="20"/>
        </w:rPr>
        <w:t xml:space="preserve">Government Regulations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foreign and domestic laws and regulations applicable to companies conducting business on the Internet. Jurisdictions vary as to how, or whether, existing laws governing areas such as personal privacy and data security, consumer protection or sales and other taxes, among other areas, apply to the Internet and ecommerce, and these laws are continually evolving. For example, certain applicable privacy laws and regulations require us to provide customers with our policies on sharing information with third parties and notice of any material changes to these policies. Related laws may govern the manner in which we collect, store, use, process, disclose or transfer sensitive information, or impose obligations on us in the event of a cybersecurity incident or inadvertent disclosure of such information. International jurisdictions impose different, and sometimes more stringent, consumer and privacy protections. Additionally, tax regulations in jurisdictions where we do not currently collect state or local taxes may subject us to the obligation to collect and remit such taxes, or to additional taxes, or to requirements intended to assist jurisdictions with their tax collection efforts. New legislation or regulations, the application of laws from jurisdictions whose laws do not currently apply to our 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and demand for ecommerce are likely to result in more laws and regulations that impose additional compliance burdens on ecommerce companies. For more information, see “Item 1A. Risk Factors—Risks Related to Our Business and Industry—Government regulation of the Internet and ecommerce in the U.S. and globally is evolving, and unfavorable changes or failure by us to comply with these regulations could substantially harm our business and results of operations.” And “Item 1A.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 </w:t>
      </w:r>
    </w:p>
    <w:p>
      <w:pPr>
        <w:pStyle w:val="TextBody"/>
        <w:bidi w:val="0"/>
        <w:spacing w:before="120" w:after="283"/>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jurisdictions vary as to how, and whether, existing laws governing areas such as personal privacy and data security, consumer protection or sales and other taxes, among other areas, apply to the Internet and ecommerce, and these laws are continually evolving. For example, certain applicable privacy laws and regulations require us to provide customers with our policies on sharing information with third parties and advance notice of any changes to these policies. Related laws may govern the manner in which we collect, store, use, process, disclose or transfer sensitive information, or impose obligations on us in the event of a cybersecurity incident or inadvertent disclosure of such information. International jurisdictions impose different, and sometimes more stringent, consumer and privacy protections. In the European Union, or the EU, and the U.K., the General Data Protection Regulation, or the EU GDPR, and the United Kingdom General Data Protection Regulation and Data Protection Act 2018 or collectively, the U.K. GDPR (the EU GDPR and U.K. GDPR together referred to as the GDPR), imposes stringent privacy, data protection and information security requirements, which include expanded requirements to disclose to data subjects how their personal data is used and increased rights for data subjects to access, control and delete their personal data. Furthermore, there are mandatory data breach notification requirements. Since we are under the supervision of relevant data protection authorities in both the European Economic Area, or EEA, and the U.K., we may be fined under both the EU GDPR and U.K. GDPR for the same breach. Penalties for certain breaches are up to the greater of €20 million/GBP 17.5 million or 4% of global turnover for the preceding financial year. We are also subject to evolving EU and U.K. privacy laws on cookies, tracking technologies and e-marketing. Recent European court and regulator decisions are driving increased attention to cookies and similar tracking technologies. In the EU and U.K., informed consent is required for the placement of certain cookies or similar tracking technologies on an individual’s device and for direct electronic marketing. Consent is tightly defined and includes a prohibition on pre-checked consents and a requirement to obtain separate consents for each type of cookie or similar technology.</w:t>
      </w:r>
    </w:p>
    <w:p>
      <w:pPr>
        <w:pStyle w:val="TextBody"/>
        <w:bidi w:val="0"/>
        <w:spacing w:before="0" w:after="0"/>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16, 2022, the Digital Services Act, or the DSA, came into force in the EU. The majority of the substantive provisions of the DSA have taken effect on February 17, 2024. The DSA governs, among other things, the potential liability for illegal services or content on the platform, obligations around traceability of business users, and requires enhanced transparency measures, including in relation to any recommendation systems (including the main parameters used by such systems and any available options for recipients to modify or influence them). In particular, the obligations to diligence the services offered on the platform could require significant additional resource. Pursuant to applicable regulations, including the GDPR, we maintain policies concerning the collection, processing, use and retention of information, including personal data. In the U.S., we are subject to federal and state laws and regulations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privacy and information security. California also enacted legislation, the California Consumer Privacy Act, or the CCPA, which went into effect on January 1, 2020, which affords consumers expanded privacy protections. The CCPA also provides for civil penalties for violations, as well as a private right of action for certain data breaches that may increase data breach litigation. On November 3, 2020, California voters approved a new privacy law, the California Privacy Rights Act, or the CPRA, which significantly modifies the CCPA, including by expanding consumers’ rights with respect to certain personal information and creating a new state agency to oversee implementation and enforcement efforts. Since the enactment of the CCPA, new privacy and data security laws have been enacted or proposed in more than half of the states in the U.S. and in the U.S. Congress, reflecting a trend toward more stringent privacy legislation in the U.S. In the PRC, the PRC government has started to tighten the regulation of the storage, sharing, use, disclosure and protection of personal information and general data and outbound data transfer. The Cybersecurity Law became effective in June 2017 and requires network operators to follow the principles of legitimacy in collecting and using personal information. The Data Security Law became effective in September 2021, which provides a national data security review system, under which data processing activities that affect or may affect national security shall be reviewed. Furthermore, the Personal Information Protection Law became effective in November 2021, which regulates data processing in China, and the protection of the privacy and personal information of Chinese citizens. We expect that there will continue to be new proposed laws, regulations and industry standards concerning privacy, data protection and information security in the U.S. and other jurisdictions, and we cannot determine the impact that such future laws, regulations and standards may have on our business. See also “Item 1A.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tax regulations in jurisdictions where we do not currently collect state or local taxes may subject us to the obligation to collect and remit such taxes, or to additional taxes, or to requirements intended to assist jurisdictions with their tax collection efforts. New legislation or regulations, the application of laws from jurisdictions whose laws do not currently apply to our 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and demand for ecommerce are likely to result in more laws and regulations that impose additional compliance burdens on ecommerce companies.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Environmental Regulation</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foreign, federal, state and local environmental, health and safety laws and regulations. Our failure to comply with current or future environmental, health or safety laws or to obtain and comply with permits required under such laws, could subject us to liability, damage our reputation and require costly investigative, remedial or corrective actions. We may in the future incur expenditures relating to compliance and risk mitigation efforts, releases of hazardous materials, investigative, remedial or corrective actions, claims by third parties and other environmental issues, and such expenditures, individually or in the aggregate,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2021, 2022 and 2023, we had 680, 764 and 1,362 full-time equivalent employees, respectively. We consider our relationship with our employees to be good. Our human capital resources objectives include, as applicable, identifying, recruiting, retaining, and incentivizing our management team and our employees and consultants. The principal purpose of our share incentive plan is to promote our success and shareholder value by attracting, motivating and retaining selected employees and other eligible participants through the awards. The following tables show a breakdown of our employees by department and by geographic location as of December 31, 2023:</w:t>
      </w:r>
    </w:p>
    <w:p>
      <w:pPr>
        <w:pStyle w:val="TextBody"/>
        <w:bidi w:val="0"/>
        <w:spacing w:before="120" w:after="283"/>
        <w:ind w:left="0" w:right="0" w:firstLine="1102"/>
        <w:jc w:val="left"/>
        <w:rPr/>
      </w:pPr>
      <w:r>
        <w:rPr/>
      </w:r>
    </w:p>
    <w:tbl>
      <w:tblPr>
        <w:tblW w:w="3433" w:type="dxa"/>
        <w:jc w:val="center"/>
        <w:tblInd w:w="0" w:type="dxa"/>
        <w:tblLayout w:type="fixed"/>
        <w:tblCellMar>
          <w:top w:w="28" w:type="dxa"/>
          <w:left w:w="28" w:type="dxa"/>
          <w:bottom w:w="28" w:type="dxa"/>
          <w:right w:w="28" w:type="dxa"/>
        </w:tblCellMar>
      </w:tblPr>
      <w:tblGrid>
        <w:gridCol w:w="853"/>
        <w:gridCol w:w="747"/>
        <w:gridCol w:w="754"/>
        <w:gridCol w:w="316"/>
        <w:gridCol w:w="316"/>
        <w:gridCol w:w="447"/>
      </w:tblGrid>
      <w:tr>
        <w:trPr/>
        <w:tc>
          <w:tcPr>
            <w:tcW w:w="85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Department</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Employees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r>
    </w:tbl>
    <w:tbl>
      <w:tblPr>
        <w:tblW w:w="3015" w:type="dxa"/>
        <w:jc w:val="center"/>
        <w:tblInd w:w="0" w:type="dxa"/>
        <w:tblLayout w:type="fixed"/>
        <w:tblCellMar>
          <w:top w:w="28" w:type="dxa"/>
          <w:left w:w="28" w:type="dxa"/>
          <w:bottom w:w="28" w:type="dxa"/>
          <w:right w:w="28" w:type="dxa"/>
        </w:tblCellMar>
      </w:tblPr>
      <w:tblGrid>
        <w:gridCol w:w="701"/>
        <w:gridCol w:w="615"/>
        <w:gridCol w:w="618"/>
        <w:gridCol w:w="316"/>
        <w:gridCol w:w="316"/>
        <w:gridCol w:w="449"/>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Geographic Location</w:t>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Employees</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South East Asia</w:t>
            </w:r>
            <w:r>
              <w:rPr>
                <w:rFonts w:ascii="Times New Roman;sans-serif" w:hAnsi="Times New Roman;sans-serif"/>
                <w:b w:val="false"/>
                <w:color w:val="000000"/>
                <w:sz w:val="13"/>
              </w:rPr>
              <w:t>(1)</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(2)</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r>
    </w:tbl>
    <w:p>
      <w:pPr>
        <w:pStyle w:val="TextBody"/>
        <w:bidi w:val="0"/>
        <w:spacing w:lineRule="auto" w:line="288" w:before="120" w:after="283"/>
        <w:ind w:left="0" w:right="0" w:firstLine="1102"/>
        <w:jc w:val="left"/>
        <w:rPr>
          <w:rFonts w:ascii="Times New Roman;sans-serif" w:hAnsi="Times New Roman;sans-serif"/>
          <w:b w:val="false"/>
          <w:color w:val="000000"/>
          <w:sz w:val="16"/>
        </w:rPr>
      </w:pPr>
      <w:r>
        <w:rPr>
          <w:rFonts w:ascii="Times New Roman;sans-serif" w:hAnsi="Times New Roman;sans-serif"/>
          <w:b w:val="false"/>
          <w:color w:val="000000"/>
          <w:sz w:val="16"/>
        </w:rPr>
        <w:t>(1) Includes Vietnam and Malaysia.</w:t>
      </w:r>
    </w:p>
    <w:p>
      <w:pPr>
        <w:pStyle w:val="TextBody"/>
        <w:bidi w:val="0"/>
        <w:spacing w:lineRule="auto" w:line="288" w:before="120" w:after="283"/>
        <w:ind w:left="0" w:right="0" w:firstLine="1102"/>
        <w:jc w:val="left"/>
        <w:rPr>
          <w:rFonts w:ascii="Times New Roman;sans-serif" w:hAnsi="Times New Roman;sans-serif"/>
          <w:b w:val="false"/>
          <w:color w:val="000000"/>
          <w:sz w:val="16"/>
        </w:rPr>
      </w:pPr>
      <w:r>
        <w:rPr>
          <w:rFonts w:ascii="Times New Roman;sans-serif" w:hAnsi="Times New Roman;sans-serif"/>
          <w:b w:val="false"/>
          <w:color w:val="000000"/>
          <w:sz w:val="16"/>
        </w:rPr>
        <w:t>(2) Includes Canada, Germany, Japan and the U.K.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Corporate Information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incorporated Oriental Standard Human Resources Holdings Limited, our holding company, as an exempt company in the Cayman Islands with limited liability on August 29, 2006. Effective February 28, 2021, our holding company’s name was changed from Oriental Standard Human Resources Holdings Limited to GigaCloud Technology Inc. Our principal executive offices are located at 4388 Shirley Avenue, El Monte, CA 91731, USA. Our telephone number at this address is 626-912-8886. Our registered office in the Cayman Islands is located at the offices of Maples Corporate Services Limited at PO Box 309, Ugland House, Grand Cayman, KY1-1104, Cayman Islands. Our corporate website is https://www.gigacloudtech.com/. The information on our website should not be deemed to be part of this annual report and is not incorporated by reference in this annual report or in any other filings we make with the SEC.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 xml:space="preserve">We make available on or through our website certain reports and amendments to those reports that we file with or furnish to the SEC in accordance with the Exchange Act. These include our annual reports on Form 10-K (and previously on Form 20-F), our quarterly reports on Form 10-Q, and our current reports on Form 8-K (and previously on Form 6-K),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maintains a website at </w:t>
      </w:r>
      <w:r>
        <w:rPr>
          <w:rFonts w:ascii="Times New Roman;sans-serif" w:hAnsi="Times New Roman;sans-serif"/>
          <w:b w:val="false"/>
          <w:color w:val="000000"/>
          <w:sz w:val="20"/>
          <w:u w:val="single"/>
        </w:rPr>
        <w:t>www.sec.gov</w:t>
      </w:r>
      <w:r>
        <w:rPr>
          <w:color w:val="000000"/>
        </w:rPr>
        <w:t xml:space="preserve"> </w:t>
      </w:r>
      <w:r>
        <w:rPr>
          <w:rFonts w:ascii="Times New Roman;sans-serif" w:hAnsi="Times New Roman;sans-serif"/>
          <w:b w:val="false"/>
          <w:color w:val="000000"/>
          <w:sz w:val="20"/>
        </w:rPr>
        <w:t xml:space="preserve">that contains reports, proxy and information statements and other information regarding us that we filed electronically with the SEC. The information in or accessible through the SEC are not incorporated into, and are not considered part of, this annual report unless specified. Further, our references to the URLs for these websites are intended to be inactive textual references only. </w:t>
      </w:r>
    </w:p>
    <w:p>
      <w:pPr>
        <w:pStyle w:val="TextBody"/>
        <w:bidi w:val="0"/>
        <w:spacing w:lineRule="auto" w:line="288" w:before="120" w:after="283"/>
        <w:ind w:left="0" w:right="0" w:hanging="0"/>
        <w:jc w:val="left"/>
        <w:rPr>
          <w:rFonts w:ascii="Times New Roman;sans-serif" w:hAnsi="Times New Roman;sans-serif"/>
          <w:b/>
          <w:color w:val="000000"/>
          <w:sz w:val="20"/>
        </w:rPr>
      </w:pPr>
      <w:r>
        <w:rPr>
          <w:rFonts w:ascii="Times New Roman;sans-serif" w:hAnsi="Times New Roman;sans-serif"/>
          <w:b/>
          <w:color w:val="000000"/>
          <w:sz w:val="20"/>
        </w:rPr>
        <w:t xml:space="preserve">History and Development of the Company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2006, we incorporated Oriental Standard Human Resources Holdings Limited, our holding company, as an exempt company in the Cayman Islands with limited liability. We began our ecommerce business in Japan in 2010 through our wholly-owned subsidiary, GigaCloud Technology (Japan) Co. Ltd (formerly known as Oriental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Standard Japan Co., Ltd). We expanded to the U.K. in 2013 through our former consolidated VIE, B.T.M TRAVEL AND TRADING LTD, and further expanded to the U.S. through our acquisition of COMPTREE INC. in 2014. COMPTREE INC. was renamed as GIGACLOUD TECHNOLOGY (USA) INC. in July 2021. In January 2019, we launched our ecommerce platform, GigaCloud Marketplace, through our Hong Kong Subsidiary, GigaCloud Technology (HongKong) Limited (formerly known as Giga Cloud Logistics (Hong Kong) Limited). As our marketplace and our ecommerce business continue to grow, we believe it is important to have a name for our holding company that is more representative of our businesses. Effective February 28, 2021, our holding company’s name was changed from Oriental Standard Human Resources Holdings Limited to GigaCloud Technology Inc.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22, 2022, we completed our initial public offering of 3,381,000 Class A ordinary shares, including the additional shares sold pursuant to the over-allotment option which we granted to the underwriter. On August 18, 2022, we listed our Class A ordinary shares on the Nasdaq Global Market under the symbol “GCT.”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we determined that we ceased to qualify as a “foreign private issuer” as of June 30, 2023, being the last business day of our most recently completed second fiscal quarter. Starting on January 1, 2024, we are subject to the same reporting and disclosure requirements applicable to domestic U.S. companies, and we will be required to file periodic reports and financial statements with the SEC on Form 10-K and Form 10-Q, as applicable, as well as filing current reports on Form 8-K.</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acquisition of Noble House, a leading B2B distributor of indoor and outdoor home furnishings, for an aggregate consideration of approximately $77.6 million. GigaCloud Trading Inc. holds the assets acquired from the Noble House acquisition.</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completed the acquisition of a 100% equity interest of Wondersign, for an aggregate purchase price of approximately $10.0 million. Wondersign is a cloud-based interactive digital signage and e-catalog management SaaS company headquartered in Tampa, Florida.</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our capital expenditure and the financing, see “Item 7. Management’s Discussion and Analysis of Financial Condition and Results of Operation—Liquidity and Capital Resources—Capital Resources.” </w:t>
      </w:r>
    </w:p>
    <w:p>
      <w:pPr>
        <w:pStyle w:val="TextBody"/>
        <w:bidi w:val="0"/>
        <w:spacing w:lineRule="auto" w:line="288" w:before="120" w:after="283"/>
        <w:ind w:left="0" w:right="0" w:hanging="0"/>
        <w:jc w:val="left"/>
        <w:rPr>
          <w:rFonts w:ascii="Times New Roman;sans-serif" w:hAnsi="Times New Roman;sans-serif"/>
          <w:b/>
          <w:color w:val="000000"/>
          <w:sz w:val="20"/>
        </w:rPr>
      </w:pPr>
      <w:r>
        <w:rPr>
          <w:rFonts w:ascii="Times New Roman;sans-serif" w:hAnsi="Times New Roman;sans-serif"/>
          <w:b/>
          <w:color w:val="000000"/>
          <w:sz w:val="20"/>
        </w:rPr>
        <w:t xml:space="preserve">Organizational Structure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Corporate Structure </w:t>
      </w:r>
    </w:p>
    <w:p>
      <w:pPr>
        <w:pStyle w:val="TextBody"/>
        <w:bidi w:val="0"/>
        <w:spacing w:lineRule="auto" w:line="288" w:before="120" w:after="283"/>
        <w:ind w:left="0" w:right="0" w:firstLine="1102"/>
        <w:jc w:val="left"/>
        <w:rPr/>
      </w:pPr>
      <w:r>
        <w:rPr>
          <w:rFonts w:ascii="Times New Roman;sans-serif" w:hAnsi="Times New Roman;sans-serif"/>
          <w:b w:val="false"/>
          <w:color w:val="000000"/>
          <w:sz w:val="20"/>
        </w:rPr>
        <w:t>GigaCloud Technology Inc is a holding company incorporated in the Cayman Islands that does not have substantive operations. As of the date of this annual report, we conduct our business operations across 29 subsidiaries, among those, 16 of which are our principal subsidiaries. During the year ended December 31, 2023, we had four consolidated VIEs. We also have two equity incentive trusts which are treated as consolidated VIEs under U.S. GAAP. All of our consolidated VIEs contributed an aggregate of 10.7%, 6.5% and 4.1% to our total assets as of December 31, 2021, 2022 and 2023, respectively. All of our consolidated VIEs contributed an aggregate of 11.5%, 14.4% and 10.6%</w:t>
      </w:r>
      <w:r>
        <w:rPr>
          <w:color w:val="000000"/>
        </w:rPr>
        <w:t xml:space="preserve"> </w:t>
      </w:r>
      <w:r>
        <w:rPr>
          <w:rFonts w:ascii="Times New Roman;sans-serif" w:hAnsi="Times New Roman;sans-serif"/>
          <w:b w:val="false"/>
          <w:color w:val="000000"/>
          <w:sz w:val="20"/>
        </w:rPr>
        <w:t xml:space="preserve">to our revenues in 2021, 2022 and 2023, respectively. As of the date of this annual report, we have completed our corporate restructure by acquiring 100% equity interests in the VIEs, which then became our wholly owned subsidiaries. Our corporate structure currently does not contain any VIEs.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before="240" w:after="283"/>
        <w:ind w:left="0" w:right="0" w:firstLine="1102"/>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 below shows our corporate structure and identifies our principal subsidiaries described above as of the date of this annual report: </w:t>
      </w:r>
    </w:p>
    <w:p>
      <w:pPr>
        <w:pStyle w:val="TextBody"/>
        <w:bidi w:val="0"/>
        <w:spacing w:before="240" w:after="283"/>
        <w:jc w:val="left"/>
        <w:rPr/>
      </w:pPr>
      <w:r>
        <w:rPr/>
        <w:drawing>
          <wp:inline distT="0" distB="0" distL="0" distR="0">
            <wp:extent cx="6286500" cy="3181350"/>
            <wp:effectExtent l="0" t="0" r="0" b="0"/>
            <wp:docPr id="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4" descr=""/>
                    <pic:cNvPicPr>
                      <a:picLocks noChangeAspect="1" noChangeArrowheads="1"/>
                    </pic:cNvPicPr>
                  </pic:nvPicPr>
                  <pic:blipFill>
                    <a:blip r:embed="rId5"/>
                    <a:stretch>
                      <a:fillRect/>
                    </a:stretch>
                  </pic:blipFill>
                  <pic:spPr bwMode="auto">
                    <a:xfrm>
                      <a:off x="0" y="0"/>
                      <a:ext cx="6286500" cy="31813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(1)GigaCloud Trading Inc. holds the assets acquired and liabilities assumed from the Noble House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360" w:after="283"/>
        <w:ind w:left="0" w:right="0" w:firstLine="1080"/>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financial results are subject to various risks and uncertainties, including those described below. We caution you that the following important factors, among others, could cause our actual results to differ materially from those expressed in forward-looking statements made by us or on our behalf in filings with the SEC, press releases, communications with investors and oral statements. Any or all of our forward-looking statements in this annual report on Form 10-K and in any other public statements we make can be affected by known or unknown risks and uncertainties. Many factors mentioned in the discussion below will be important in determining future results. Consequently, no forward-looking statement can be guaranteed. Actual future results may differ materially from those anticipated in forward-looking statements. We undertake no obligation to update any forward-looking statements, whether as a result of new information, future events or otherwise. We undertake no obligation to update any forward-looking statements, whether as a result of new information, future events or otherwise. You are advised, however, to consult any further disclosure we make in our reports filed with the SEC.</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Industry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Uncertainties in economic conditions and their impact on the ecommerce industry, particularly for large parcel merchandise, could adversely impact our operating results.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significant portion of our revenues by offering global end-to-end B2B ecommerce solutions for large parcel merchandise via our GigaCloud Marketplace and by selling our own inventory through the GigaCloud Marketplace, to and through off-platform ecommerce websites such as Rakuten in Japan, and Amazon, Walmart, Home Depot, Overstock and Wayfair in the U.S. and OTTO in Germany.. Our business and growth are therefore highly dependent on the viability and prospects of the ecommerce industry, particularly for the large parcel merchandise market.</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uncertainties relating to the growth, profitability and regulatory regime of the ecommerce industry for large parcel merchandise in the U.S. and other jurisdictions in which we operate could have a significant impact on us.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the ecommerce industry is affected by a number of factors, most of which are beyond our control. These factors include: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consumption power and disposable income of ecommerce consumers, as well as changes in demographics and consumer tastes and preferences;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availability, reliability and security of ecommerce platforms;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selection, price and popularity of products offered on ecommerce platforms;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impact of the COVID-19 pandemic, or other pandemics or epidemics, to our business operations and the economy in the U.S. and elsewhere generally;</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development of fulfillment, payment and other ancillary services associated with ecommerce; and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changes in laws and regulations, as well as government policies, that govern the ecommerce industry in the U.S.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ecommerce industry is highly sensitive to changes in macroeconomic conditions, and ecommerce spending tends to decline during recessionary periods. Many factors beyond our control, including inflation and deflation, fluctuations in currency exchange rates, volatility of stock and property markets, interest rates, tax rates and other government policies and changes in unemployment rates can adversely affect consumer confidence and spending behavior on ecommerce platforms, which could in turn materially and adversely affect our growth and profitability. In addition, unfavorable changes in politics, including military conflicts, political turmoil and social instability, may also adversely affect consumer confidence and spending, which could in turn negatively impact our growth and profitability.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historical growth rates and performance may not be sustainable or indicative of our future growth and financial results. We cannot guarantee that we will be able to maintain the growth rate we have experienced to date.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grown rapidly over the last few years. Our revenues increased from $414.2 million in 2021 to $490.1 million in 2022 and further increased to $703.8 million in 2023. GigaCloud Marketplace GMV increased from $414.2 million in 2021 to $518.2 million in 2022 and further to $794.4 million in 2023. However, our historical performance may not be indicative of our future growth or financial results. We cannot assure you that we will be able to grow at the same rate as we did in the past, or avoid any decline in the future. Our growth may slow or become negative, and revenues may decline for a number of possible reasons, some of which are beyond our control, including decreasing consumer spending, increasing competition, declining growth of our overall market or industry, the emergence of alternative business models and changes in rules, regulations, government policies or general economic conditions. In addition, our B2B ecommerce platform, GigaCloud Marketplace, from which we have generated 69.2%, 76.0% and 70.9% of our total revenues in 2021, 2022 and 2023, respectively, is a relatively new initiative and may not grow as quickly as we have anticipated. Our growth rate may also be slower than the previous years due to inflationary pressure and changes in the global economic conditions. It is difficult to evaluate our prospects, as we may not have sufficient experience in addressing the risks to which companies operating in rapidly evolving markets may be exposed. If our growth rate declines, our business, financial condition and results of operations may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realize the expected benefits of our acquisitions of Noble House and Wondersign due to potential risk and uncertainties.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acquisition of Noble House which we are continuing to use, implement, and integrate with our existing business, and in November 2023, we also acquired all outstanding equity interest of Wondersign. Failure to successfully integrate our acquisitions in a timely manner may have a material adverse effect on our business, financial condition, results of operations and cash flows. The difficulties of combining acquired operations include, among other things: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implementing integration process and management systems to ensure management philosophies, group-wide strategies and evaluation benchmarks can be effectively carried out;</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retaining new managerial and operational teams and customers and suppliers of acquired businesses;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consolidating corporate technological and administrative functions;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integrating internal control and other corporate governance matters;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diverting management’s attention from other business concerns;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employee fatigue resulting from implementation efforts that could negatively impact our ability to hire or retain key personnel;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costs to defend claims against Noble House that we do not owe, but could be required to pay in order to defend and preserve our rights;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unexpected economic, political, or regulatory risks; or</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any other unforeseen costs, expenses, losses, disruptions, delays, or negative impacts.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realize all of the anticipated benefits from our acquisitions, such as increased earnings, cost savings, and revenue enhancements, for various reasons, including difficulties integrating operations and personnel, higher and unexpected acquisition and operating costs, unknown liabilities, and fluctuations in markets. If benefits from our acquisitions do not meet the expectations of financial or industry analysts, we may also suffer a decline in the market price of our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System interruptions that impair access to our GigaCloud Marketplace, or other performance failures in our technology infrastructure, could damage our reputation and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satisfactory performance, reliability and availability of our marketplace, software such as our artificial intelligence software, or AI software, data analytics tools, warehouse management system and other technology infrastructures are critical to our reputation and our ability to acquire and retain customers, as well as maintain adequate customer service levels.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if one of our data centers fails or suffers an interruption or degradation of services, we could lose customer data and miss order fulfillment deadlines, which could harm our business. Our systems and operations, including our ability to fulfill customer orders through our logistics network, are also vulnerable to damage, breakdown, breach or interruption from inclement weather, fire, flood, power loss, telecommunications failure, terrorist attacks, labor disputes, employee error or malfeasance, theft or misuse, cyber-attacks, denial-of-service attacks, computer viruses, ransomware or other malware, data loss, acts of war, break-ins, earthquake and similar events. In the event of a data center failure, the failover to a back-up could take substantial time, during which time our sites could be completely shut down. Further, our back-up services may not effectively process spikes in demand, may process transactions more slowly and may not support all of our sites’ functionality.</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complex AI software in our technology infrastructure, which we seek to continually update and improve. We may not always be successful in executing these upgrades and improvements, and the operation of our systems may be subject to failure. In particular, we may in the future experience slowdowns or interruptions in our marketplace or our warehouse management system when we are updating them, and new technologies or infrastructures may not be fully integrated with existing systems on a timely basis, or at all. Our revenues depend on the number of sellers and buyers who trade in our marketplace and the amount of GMV we can handle. Unavailability of our marketplace or our logistics algorithm would reduce the volume of GMV in our business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periodic system interruptions from time to time. In addition, continued growth in our transaction volume, as well as surges in online traffic and orders associated with promotional activities or seasonal trends in our marketplace or on third-party ecommerce platforms, place additional demands on our technology infrastructure and could cause or exacerbate slowdowns or interruptions. Any substantial increase in the volume of traffic or the number of orders placed in our marketplace or the third-party ecommerce platforms may require us to further expand and upgrade our logistics network, precision logistics algorithm, warehouse management system and technology infrastructure. There can be no assurance that we will be able to accurately project the rate or timing of increases, if any, in the use of our marketplace, the third-party ecommerce platforms or expand and upgrade our systems and infrastructure to accommodate such increases on a timely basis. To remain competitive, we continue to enhance and improve the responsiveness, functionality and features of our marketplace, which is particularly challenging given the rapid rate at which new technologies, customer preferences and expectations and industry standards and practices are evolving in the ecommerce industry. Accordingly, we redesign and enhance various functions in our marketplace on a regular basis, and we may experience instability and performance issues as a result of these changes.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slowdown, interruption or performance failure of our marketplace and the underlying technology and logistics infrastructure could harm our business, reputation and our ability to acquire, retain and serve our customers, which could materially and adversely affect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international operations are subject to a variety of legal, regulatory, political and economic risks.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warehouses in five countries in the U.S., Japan, the U.K., Germany and Canada, with the U.S. being our largest market. Our international activities are significant to our revenues and profits, and we plan to further expand internationally. In certain international market segments, we have relatively little operating experience and may not benefit from any first-to-market advantages. It is costly to establish, develop and maintain international operations, and promote our brand internationally. Our international operations may not become profitable on a sustained basis.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international sales and operations are subject to a number of risks, including: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local economic, inflation and political conditions;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government regulation (such as regulation of our product and service offerings and of competition); restrictive governmental actions (such as trade protection measures, including export duties and quotas and custom duties and tariffs); nationalization; and restrictions on foreign ownership;</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restrictions on sales or distribution of certain products or services and uncertainty regarding liability for products, services and content, including uncertainty as a result of less Internet-friendly legal systems, local laws, lack of legal precedent, and varying rules, regulations, and practices regarding the physical and digital distribution of media products and enforcement of intellectual property rights;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business licensing or certification requirements;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limitations on the repatriation and investment of funds and foreign currency exchange restrictions;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limited fulfillment and technology infrastructure;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impact of the COVID-19 pandemic, or other pandemics or epidemics, on our business operations and the global economy;</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shorter payable and longer inventory and receivable cycles and the resultant negative impact on cash flow;</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laws and regulations regarding consumer and data protection, privacy, network security, encryption, payments, advertising, and restrictions on pricing or discounts;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lower levels of use of the Internet;</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lower levels of consumer spending and fewer opportunities for growth in the markets where we operate;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difficulty in staffing, developing and managing global operations as a result of distance, language and cultural differences;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different employee/employer relationships and the existence of works councils and labor unions;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differing labor regulations where labor laws may be more advantageous to employees as compared to the U.S. and the other jurisdictions we operate in;</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compliance with the U.S. Foreign Corrupt Practices Act and other applicable U.S. and foreign laws prohibiting corrupt payments to government officials and other third parties;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laws and policies of the U.S. and other jurisdictions affecting trade, foreign investment, loans and taxes; and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geopolitical events, including pandemic, war and terrorism.</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international physical, ecommerce, and omni-channel retail and other services grow, competition will intensify, including through adoption of evolving business models. Local companies may have a substantial competitive advantage because of their greater understanding of, and focus on, the local customer, as well as their more established local brand names. The inability to hire, train, retain and manage sufficient required personnel may limit our international growth.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and expand our relationships with third-party platforms and sellers and buyers in our marketplace, our revenues and results of operations will be harmed.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have relied on certain third-party ecommerce platforms, such as Rakuten in Japan, and Amazon, Walmart, Home Depot, Overstock and Wayfair in the U.S. and OTTO in Germany., and we still expect to be significantly influenced by these third-party ecommerce platforms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third-party ecommerce platforms have significant influence over how transactions take place on their ecommerce platforms, including how purchase orders are fulfilled by indicating to consumers the preferred express delivery companies for orders placed. We may have to accommodate the demands and requirements from various third-party ecommerce platforms such as packing standards and the selection of specified shippers. Such demands and requirements may increase our costs or weaken our connection with our end customers.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approximately 76.4%, 81.5% and 79.5% of our GMV was generated from our GigaCloud Marketplace in 2021, 2022 and 2023, respectively. As a result, our ability to maintain relationships with and attract new third-party merchants, who are sellers and buyers trading on large parcel merchandise, to our marketplace is critical to our business operations and growth prospects. However, we may not be able to maintain our relationships with third-party ecommerce platforms or sellers and buyers due to a number of factors, some of which are beyond our control. For example, if the transaction volume or active users in our marketplace drop significantly, our third-party merchants may experience sales declines or shortage in products. As a result, they may not be able to generate profits or procure products as they expected, and thus choose not to renew their agreements with us. In addition, we may also be unable to continuously offer attractive terms or economic benefits to our sellers and buyers. As a result, our sellers and buyers may not be effectively motivated to sell or order more products or maintain relationships with us.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are able to maintain our relationships with sellers and buyers and attract more sellers and buyers to our marketplace, we are subject to various risks in connection with third-party merchants. If any third-party seller does not control the quality of the products that it sells in our marketplace or delivers products that are defective or materially different from description, the reputation of our online marketplace could be materially and adversely affected and we could face claims to hold us liable for the losses. Moreover, despite our efforts to prevent it, some products sold by the sellers in our online marketplace may compete with the products we sell directly, which may cannibalize our sales under our self-operated business. In order for our online marketplace to be successful, we must continue to identify and attract sellers and buyers, and we may not be successful in this regard. The occurrence of any of the above could have a material and adverse effect on our business,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Risks associated with the manufacturers of the products we sell as our own inventory could materially and adversely affect our financial performance as well as our reputation and brand.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source products from third-party suppliers and manufacturers which we sell as our own inventory through GigaCloud Marketplace and also through off-platform ecommerce. We depend on our ability to provide our customers with a wide range of products from qualified suppliers in a timely and efficient manner. Political and economic instability, global or regional adverse conditions, such as pandemics or other disease outbreaks or natural disasters, the financial stability of suppliers, suppliers’ ability to meet our standards, labor problems experienced by suppliers, the availability or cost of raw materials, merchandise quality issues, currency exchange rates, trade tariff developments, transport availability and cost, including import-related taxes, transport security, inflation, and other factors relating to our suppliers are beyond our control. As an example, the COVID-19 pandemic could adversely impact supplier facilities and operations due to extended holidays, factory closures and risks of labor shortages, among other things, which may materially and adversely affect our business, financial condition and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agreements with most of our suppliers do not provide for the long-term availability of merchandise or the continuation of particular pricing practices, nor do they usually restrict such suppliers from selling products to other buyers. There can be no assurance that our current suppliers will continue to seek to sell us products on current terms or that we will be able to establish new or otherwise extend current supply relationships to ensure product acquisitions in a timely and efficient manner and on acceptable commercial terms. Our ability to develop and maintain relationships with reputable suppliers and offer high quality merchandise to our customers is critical to our success. If we are unable to develop and maintain relationships with suppliers that would allow us to offer a sufficient amount and variety of quality merchandise on acceptable commercial terms, our ability to satisfy our customers’ needs, and therefore our long-term growth prospects, may be materially and adversely affected.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rely on our suppliers’ representations of product quality, safety and compliance with applicable laws and standards. If our suppliers or other vendors violate applicable laws, regulations or our supplier code of conduct, or implement practices regarded as unethical, unsafe or hazardous to the environment, it could damage our reputation and negatively affect our operating results. Further, concerns regarding the safety and quality of products provided by our suppliers could cause our customers to avoid purchasing those products from us, or avoid purchasing products from us altogether, even if the basis for the concern is outside of our control. As such, any issue, or perceived issue, regarding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quality and safety of any items we sell, regardless of the cause, could adversely affect our brand, reputation, operations and financial results.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are unable to predict whether any of the countries in which our suppliers’ products are currently manufactured or may be manufactured in the future will be subject to new, different or additional trade restrictions imposed by the U.S.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and adversely affect our financial performance as well as our reputation and brand. Furthermore, some or all of our suppliers’ foreign operations may be adversely affected by political and financial instability, resulting in the disruption of trade from exporting countries, restrictions on the transfer of funds or other trade disruptions.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business with foreign suppliers, particularly with respect to our international sites, may be affected by changes in the value of the U.S. dollar relative to other foreign currencies. For example, any movement by any other foreign currency against the U.S. dollar may result in higher costs to us for those goods. Declines in foreign currencies and currency exchange rates might negatively affect the profitability and business prospects of one or more of our foreign suppliers. This, in turn, might cause such foreign suppliers to demand higher prices for merchandise in their effort to offset any lost profits associated with any currency devaluation, delay merchandise shipments or discontinue selling to us altogether, any of which could ultimately reduce our revenues or increase our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manage our inventory effectively, our results of operations, financial condition and liquidity may be materially and adversely affected.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model requires us to manage a large volume of inventory effectively. We procure products from third-party manufacturers and sell the products as our own inventory through our GigaCloud Marketplace and off-platform ecommerce. We depend on our demand forecasts for various kinds of products to make purchase decisions and to manage our inventory. Demand for products, however, can change significantly between the time inventory is ordered and the date by which we target to sell it. Demand may be affected by seasonality, new product launches, changes in product cycles and pricing, product defects, changes in consumer spending patterns, changes in consumer tastes with respect to our products and other factors, and our customers may not order products in the quantities that we expect. In addition, when we begin selling a new product, we may not be able to accurately forecast demand. The procurement of certain types of inventory may require significant lead time and prepayment, and they may not be returnable. If we are unable to anticipate or respond to changes in customer preferences or fail to bring products that satisfy new customer preferences to GigaCloud Marketplace and off-platform ecommerce in a timely manner, our results of operations, financial condition and liquidity could be adversely affected. </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Our inventories was $81.4 million and $78.3 million as of December 31, 2021 and 2022, respectively, and further increased to $132.2 million as of December 31, 2023. Our annual inventory turnover days for our own inventory were 65 days in 2021, 71 days in 2022 and 77 days in 2023. Our inventory turnover days for a given period are equal to average balances of inventories calculated from the beginning and ending balances of the period divided by cost of product sales during the period and then multiplied by the number of days during the period. Shipping costs to procure our inventories, including ocean freight costs, are included in the balance of inventories and an increase in shipping costs may cause us to adjust our product prices upward, which may have affected consumer demand and further lengthened the inventory turnover days. We also acquired inventory from Noble House, which may further impact our inventory turnover days.</w:t>
      </w:r>
      <w:r>
        <w:rPr>
          <w:color w:val="000000"/>
        </w:rPr>
        <w:t xml:space="preser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manage our inventory effectively, we may be subject to a heightened risk of inventory obsolescence, a decline in inventory values, and significant inventory write-downs or write-offs. To reduce our inventory level, we usually choose to sell certain of our products at lower prices, which may lead to lower gross margins. High inventory levels may also require us to commit substantial capital resources, preventing us from using that capital for other important purposes. Any of the above may materially and adversely affect our results of operations and financial condition.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other hand, if we underestimate demand for our products, or if our suppliers fail to supply quality products in a timely manner, we may experience inventory shortages, which may result in missed sales, diminished brand loyalty and lost revenues, any of which could harm our business 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on our relationships with third parties, including third-party trucking and freight service companies, and changes in our relationships with these parties could adversely impact our revenues and profits.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operate certain elements of our business. For example, we rely on third-party national, regional and local trucking and freight service companies to deliver our large parcel merchandise. As a result, we may be subject to shipping delays or disruptions caused by inclement weather, natural disasters, system interruptions and technology failures, political instability, military conflicts, labor activism, health epidemics or bioterrorism. For example, following the initial conflict between Israel and Hamas in the Middle East, the Houthi movement in Yemen, launched a number of attacks on marine vessels traversing the Red Sea causing significant operational disruptions for certain third-party business partners. The conflict is ongoing, and should it escalate or expand, it could result in delays, increased shipping and freight costs, and potential disruptions to the arrival of our products. We are also subject to risks of breakage or other damage during delivery by any of these third parties. We also use and rely on other services from third parties, such as telecommunications services, customs, consolidation and shipping services, as well as warranty, installation, assembly and design services. We may be unable to maintain these relationships, and these services may also be subject to outages and interruptions that are not within our control. Third parties may in the future determine they no longer wish to do business with us or may decide to take other actions that could harm our business. We may also determine that we no longer want to do business with them. If parcels are not delivered in a timely fashion or are damaged during the delivery process by these third parties, or if we are not able to provide adequate customer support or other services or offerings, our customers could become dissatisfied and cease using our cross-border fulfillment services or stop trading products through our marketplace, which would adversely affect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successful in optimizing our warehouses and fulfillment network.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33 large scale warehouses spreading across the U.S., Japan, the U.K., Germany and Canada. Failures to adequately predict customer demand or otherwise optimize and operate our fulfillment network successfully from time to time result in excess or insufficient fulfillment capacity, increased costs and impairment charges, any of which could materially harm our business. As we continue to add warehouses and fulfillment capability, our fulfillment and logistics networks become increasingly complex and operating them becomes more challenging. There can be no assurance that we will be able to operate our networks effectively.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2024, one of our warehouses in Japan, suffered damages due to a warehouse fire. While we are still evaluating the impact caused by the warehouse fire, we estimated approximately $1.8 million in damages with respect to the cost of our inventory held at the warehouse. We have insurance coverage associated with the damages to the inventory and warehouse equipment. Furthermore, we have a total of four warehouses in Japan and we have shifted our warehouse operations in Japan to the other three warehouses to minimize any disruptions to our operations in Japan.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failure to optimize inventory in our fulfillment network increases our net shipping cost by requiring long-zone or partial shipments. We may be unable to adequately staff our warehousing network and customer service centers. As we maintain the inventory of other companies, the complexity of tracking inventory and operating our fulfillment network has further increased. Our failure to properly handle such inventory or the inability of the other businesses on whose behalf we perform inventory fulfillment services to accurately forecast product demand may result in our being unable to secure sufficient storage space or to optimize our warehouses and fulfillment network or cause other unexpected costs and other harm to our business and reputation.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Damage to our business reputation could have a material adverse effect on our growth strategy and our business, financial condition, results of operations and prospects.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Maintaining and enhancing our reputation is critical to expanding our base of customers, including attracting third-party ecommerce platforms to use our third-party logistics services and the sellers and buyers to trade in our marketplace. Our ability to maintain and enhance our reputation depends largely on our ability to maintain customer confidence in our service offerings, including by delivering parcels on time and without damage to end customers. If end customers do not have a satisfactory experience with our logistics services, our customers may seek out alternative logistics services from our competitors. Alternatively, if our sellers and buyers are not satisfied with the product selection or service offerings in our marketplace, they may not return to our marketplace in the future, or at all.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unfavorable publicity regarding, for example, reputational damage from short seller reports, our practices relating to privacy and data protection, product quality, delivery problems, competitive pressures, litigation or regulatory activity, could seriously harm our reputation. Such negative publicity also could have an adverse effect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size, engagement and loyalty of our customer base and result in decreased total revenues, which could adversely affect our business, financial condition and results of operations. A significant portion of our customers’ experience also depends on third parties outside of our control, including trucking and freight service companies and other third-party delivery agents. If these third parties do not meet our or our customers’ expectations, our business reputation may suffer irreparable damage.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Customer complaints or negative publicity about our marketplace, products, delivery times, company practices, employees, customer data handling and security practices or customer support, especially on social media websites and in our marketplace, could rapidly and severely diminish buyers’ and sellers’ use of our marketplace and third-party ecommerce platforms’ confidence in us and result in harm to our reputation and brand.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efforts to launch new products or services may not be successful.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success depends to some extent on our ability to expand our service offerings by launching new products and services and by expanding our existing offerings into new geographies. For example, we expanded into Germany for our third-party logistics services in 2018, and we launched GigaCloud Marketplace, our B2B marketplace, in 2019. In 2023, we completed two acquisitions as part of a strategic initiative for attracting more sellers and buyers on our GigaCloud Marketplace and expanding our solutions offerings. Launching new products and services or expanding internationally requires significant upfront investments, including investments in marketing, information technology, and additional personnel. Expanding our service offerings internationally is particularly challenging because it requires us to gain country-specific knowledge about consumers, regional competitors and local laws, purchase or lease warehouse, build local logistics capabilities and customize portions of our technology for local markets. We may not be able to generate satisfactory revenues from these efforts to offset these costs. Any lack of market acceptance of our efforts to launch new services or to expand our existing offerings could have a material adverse effect on our business, financial condition and results of operations. Further, as we continue to expand our fulfillment capability or add new businesses with different requirements, our logistics networks become increasingly complex and operating them becomes more challenging. There can be no assurance that we will be able to operate our networks effectively.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entered and may continue to enter into new markets in which we have limited or no experience, which may not be successful or appealing to our customers. These activities may present new and difficult technological and logistical challenges, and resulting service disruptions, failures or other quality issues may cause customer dissatisfaction and harm our reputation and brand. Further, our current and potential competitors in new market segments may have greater brand recognition or financial resources, longer operating histories and larger customer bases than we do in these areas. As a result, we may not be successful enough in these newer areas to recoup our investments in them. If this occurs, our business, financial condition and results of operations may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COVID-19 pandemic, and any future outbreaks or other public health emergencies, could materially affect our business, liquidity, financial condition and operating results.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negatively impacted the global economy, disrupted consumer spending and global supply chains and created significant volatility and disruption of financial markets. The COVID-19 pandemic and the various responses to it globally created significant volatility, uncertainty and economic disruption. During the COVID-19 pandemic, authorities across the U.S. and the globe implemented varying degrees of restriction on social and commercial activity. While these restrictions were largely lifted in 2023, some regions have seen a resurgence of COVID-19 cases resulting in consideration of reinstitution of certain protective measures.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extent of the impact of a recurring COVID-19 pandemic, or other public health emergencies, on our business will depend on future developments, which remain highly uncertain and difficult to predict, including the duration, severity and sustained geographic spread of the pandemic, additional waves of increased infections, the virulence and spread of different strains of the virus, and the extent to which associated prevention, containment, remediation and treatment efforts, including global vaccination programs and vaccine acceptance, are successful. Additionally, to the extent the COVID-19 pandemic or other outbreaks, epidemics, pandemics or public health crises adversely affects our business, results of operations or financial condition, it may heighten other risks described in this “Risk Factors” section.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risks related to online transactions and payment methods.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accept payments using a variety of methods, including credit card, debit card, third-party online payment platforms such as Alipay, Payoneer and others, credit accounts (including promotional financing) and customer invoicing.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offer new payment options to our customers, we may be subject to additional regulations, compliance requirements and fraud. For certain payment methods, including credit and debit cards, we pay interchange and other fees, which may increase over time and raise our operating costs and lower profitability. We are also subject to payment card association operating rules and certification requirements, including the Payment Card Industry Data Security Standard and rules governing electronic fund transfers, which could change or be reinterpreted to make it difficult or impossible for us to comply. As our business changes, we may also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to facilitate other types of online payments. If any of these events were to occur, our business, financial condition and operating results could be materially and adversely affected.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occasionally receive orders placed with fraudulent credit card data. We may suffer losses as a result of orders placed with fraudulent credit card data even if the associated financial institution approved payment of the orders. Under current credit card practices, we may be liable for fraudulent credit card transactions. We may also suffer losses from other online transaction fraud, including fraudulent returns or chargebacks. If we are unable to detect or control credit card or transaction fraud, our liability for these transactions could harm our business, financial condition and operating results.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failure or the failure of third-party service providers on which we rely to protect our marketplace, networks and systems against cybersecurity incidents, or otherwise to protect our confidential information, could damage our reputation and substantially harm our business and operating results.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have access to confidential information in our day-to-day operations. We collect, maintain, transmit and store data about our customers, employees, contractors, suppliers, vendors and others, including personal information of the senders and recipients of the parcels, sensitive data, as well as other confidential and business proprietary information and trade secrets. The proper use and protection of confidential information are essential to maintaining customer trust in us and our services.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materially dependent upon our networks, information technology infrastructure and related technology systems to provide services to our customers and to manage our internal operations. Many of our customers require access to our services on a continuous basis and may be materially impaired by interruptions in our or our third-party service providers’ infrastructure. Our technology systems also process and store certain confidential information and data for the proper functioning of our network. Cybersecurity incidents and cyberattacks, including from diverse threat actors, such as state-sponsored organizations, opportunistic hackers and hacktivists, as well as through diverse attack vectors, such as AI, social engineering/phishing, malware (including ransomware), malfeasance by insiders, human or technological error, on our system might result in a compromise to the technology that we use to protect confidential information. We may not be able to prevent third parties, especially hackers or other individuals or entities engaging in similar activities, from illegally obtaining confidential information in our possession. Such individuals or entities may engage in various other illegal activities using such information. Further, as parcels move through our network from pickup to delivery, a large number of personnel handles the flow of parcels and have access to significant amounts of confidential information. Some of these personnel may misappropriate the confidential information despite the security policies and measures we have implemented. In addition, most of the delivery and pickup personnel are not our employees, which makes it more difficult for us to implement sufficient and effective control over them.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 information of individuals involved with our customers and their end users and (v) impact our ability to do business in the ordinary course. If a breach or other security incident were to occur, it could expose us to increased risk of claims and liability, including litigation (such as class actions), regulatory enforcement, notification obligations and indemnity obligations, as well as loss of existing or potential customers, harm to our brand and reputation, increases in our security costs (including spending material resources to investigate or correct the breach or incident and to prevent future cybersecurity incidents), disruption of normal business operations, the impairment or loss of industry certifications and government sanctions (including debarment). Moreover, containing and remediating any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system failure, cybersecurity attack or vulnerability may require significant investment of resources. Any of the foregoing could have a material and adverse effect on our business, financial condition and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security risks exist with respect to our third-party vendors that we rely on for aspects of our IT support services, pickup and delivery services, and administrative functions, including the systems owned, operated or controlled by other unaffiliated operators to the extent we rely on such other systems to deliver services to our customers. Our ability to monitor our third-party service providers’ data security is limited. As a result, we are subject to the risk that cyber-attacks on, or other cybersecurity incidents affecting, our third-party service providers may adversely affect our business even if an attack or breach does not directly impact our systems. It is also possible that security breaches sustained by, or other cybersecurity incidents affecting, our competitors could result in negative publicity for our entire industry that indirectly harms our reputation and diminishes demand for our services. Practices regarding the collection, use, storage, transmission and security of personal information have recently come under increased public scrutiny. Any failure or perceived failure by us to prevent cybersecurity incidents or to comply with privacy policies or privacy-related legal obligations could cause our customers to lose trust in us and our services. Any perception that the confidentiality or privacy of information is unsafe or vulnerable when using our services could damage our reputation and substantially harm our business, financial condition and results of operations.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secure processing, storage, maintenance and transmission of critical customer and business information are vital to our operations and our business strategy. Although we devote significant resources to protecting such information and take what we believe to be reasonable and appropriate measures, including having a formal and dedicated IT department and limiting the amount of any data we store to non-sensitive customer information, such as zip codes and business addresses, to protect sensitive information from compromises such as unauthorized access, disclosure, or modification or lack of availability, our information technology and infrastructure may still be vulnerable to attacks by hackers or viruses or breached due to employee or human error, malfeasance or other disruptions. We may be exposed to significant monetary damages. Saved as the foregoing, we have not taken additional measures to mitigate the risks against cybersecurity in our supply chain based on third-party products, software, services and business. Further, a cybersecurity incident could require us to expend substantial additional resources relating to the security of our information systems and to provide required breach notifications to affected parties, diverting resources from other projects and disrupting our businesses. There can be no assurance that our cybersecurity risk management program and processes, including our policies, controls or procedures, will be fully implemented, complied with or effective in protecting our systems and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Real or perceived errors, failures or bugs in our services, software or technology could adversely affect our business, financial condition and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Undetected real or perceived errors, failures, bugs or defects may be present or occur in the future in our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solutions could result in negative publicity, loss of or delay in market acceptance of our services and harm to our reputation and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services could also impair our ability to attract new customers, retain existing customers or expand the customers’ use of our services, which could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raise capital in the future may be limited, and our failure to raise capital when needed could prevent us from growing.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require additional cash capital resources in order to fund future growth and the development of our businesses, including expansion of our ecommerce platform, our third-party logistics services and any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governmental regulations over foreign investment and the ecommerce and logistics services industries.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is highly competitive. Competition presents an ongoing threat to the success of our business.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rapidly evolving and intensely competitive, and we have many competitors in different industries. Our competition includes third-party logistics service providers, furniture stores, big box retailers, and online ecommerce platforms and marketplaces in the U.S., Asia and Europe. We compete with third-party logistics service providers based on a number of factors, including warehouse and infrastructure capacity, network stability, business model, operational capabilities, cost control and service quality. We also compete with other retailers and ecommerce platforms that offer large parcel merchandise for the variety and availability of products, number of users in the marketplace, flexibility in delivery options and freight rates.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current competitors have, and potential competitors may have, longer operating histories, greater brand recognition, larger fulfillment infrastructures, greater technical capabilities, faster and less costly shipping, significantly greater financial, marketing and other resources and larger customer bases than we do. These factors may allow our competitors to derive greater revenues and profits from their existing customer bases, acquire customers at lower costs or respond more quickly than we can to new or emerging technologies and changes in customer habits. These competitors may engage in more extensive research and development efforts, undertake more far-reaching marketing campaigns and adopt more aggressive pricing policies, which may allow them to build larger customer bases or generate revenues from their customer bases more effectively than we do.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product liability claims and other similar claims if people or property are harmed by the products we sell or sold through our platform.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products we sell may expose us to product liability and other claims and litigation (including class actions) or regulatory action relating to safety, personal injury, death or environmental or property damage. Some of our agreements with members of our supply chain may not indemnify us from product liability for a particular product, and some members of our supply chain may not have sufficient resources or insurance to satisfy their indemnity and defense obligations. Although we maintain product liability insurance, we cannot be certain that our coverage will be adequate for liabilities actually incurred or that insurance will continue to be available to us on economically reasonable terms, or at all.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Fluctuations in the price or availability of fuel and uncertainty in third-party transportation capacity may adversely affect our transportation costs and operational results.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transportation costs mainly consist of fuel costs and transportation expenses incurred in relation to the use of third-party transportation services. The availability and price of fuel and third-party transportation capacity are subject to political, economic and market factors that are outside of our control. In 2021 and 2022, we continued to increase the use of self-owned and operated, cost-efficient high capacity trucks to replace some, but not all, of our third-party outsourced trucks to further enhance transportation efficiency. In the event of a significant increase in fuel prices and third-party transportation service charges, our transportation expenses may rise, and our gross profit may decrease if we are unable to adopt effective cost control measures or pass on incremental costs to our customers. As a result, our business, financial condition and results of operations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face risks associated with parcels handled and transported through our network and risks associated with transportation.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handle a large volume of parcels across our cross-border fulfillment network, and face challenges with respect to the protection and inspection of these parcels. Parcels in our fulfillment network may be stolen, damaged or lost for various reasons, and we may face actual or alleged liability for such incidents. In addition, we may fail to detect unsafe or prohibited/restricted items. Further, the big and bulky parcels handled by us are prone to damages, and may injure their recipients, harm our personnel and result in property damage. Failure to prevent prohibited or restricted items from entering our network may result in administrative or criminal penalties as well as civil liability for personal injury and property damage.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transportation of parcels involves inherent risks. We have multiple warehouse personnel involved in our logistics operations at all times, who are subject to risks associated with logistics and transportation safety,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transportation-related injuries and losses at our warehouses or during the course of transportation. For example, our personnel may be involved in traffic accidents from time to time, resulting in personal injury and loss or damage to parcels carried by them. In addition, frictions or disputes may occasionally arise from the direct interaction of our personnel with parcel senders and recipients, which may result in personal injury or property damage if such incidents escalate. The insurance policies carried by us may not fully cover the damages caused by transportation-related injuries or losses.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foregoing could disrupt our services, cause us to incur substantial expenses and divert the time and attention of our management. We may face claims and incur significant liabilities if found liable or partially liable for any injuries, damages or losses. Claims against us may exceed the amount of our insurance coverage or may not be covered by insurance at all. Government authorities may also impose significant fines on us or require us to adopt costly preventive measures. Furthermore, if our services are perceived to be unsafe by our end customers, ecommerce platforms and customers, our business volume may be significantly reduced, and our business, financial condition and results of operations may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Significant merchandise refunds and product warranty claims could have a material adverse effect on our business.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allow our customers to claim refunds or product warranties for our 1P sales subject to our return policy. See “Item 1. Business—Logistics Network and Value-added Services—Warranties and Refunds.” If merchandise returns and product warranty claims are significant, our business, financial condition and results of operations could be harmed. Further, we modify our policies relating to returns and warranties from time to time, which may result in customer dissatisfaction or an increase in the number of product returns. Many of our products are large and require special handling and delivery. From time to time our products are damaged in transit, which can increase return rates and harm our reputation and brand.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may be affected by increase in rental expenses or the termination of leases of our warehouses.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lease properties to operate all of our warehouses, offices, ports and other pickup and delivery outlets. We may be subjected to increase in rental expenses. We may also not be able to successfully extend or renew such leases upon expiration, on commercially reasonable terms or at all, and may be forced to relocate the affected operations. Such relocation may disrupt our operations and result in significant relocation expenses, which could adversely affect our business, financial condition and results of operations. We may not be able to locate desirable alternative sites for our facilities as our business continues to grow and failure in relocating our operations when required could adversely affect our business and operations. In addition, we compete with other businesses for premises at certain locations or of desirable sizes. Even if we are able to extend or renew the respective leases, rental payments may significantly increase as a result of the high demand for the leased properties.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requires significant capital investments and a high level of working capital to sustain our operations and business growth.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require significant capital investments in our business which consist of leasing and setting up warehouse facilities, technology, sorting and other types of equipment. These investments support both our existing business and anticipated growth. Forecasting projected volume involves many factors which are subject to uncertainty, such as general economic trends, changes in governmental regulation and competition. If we do not accurately forecast our future capital investment needs, we could have excess capacity or insufficient capacity, either of which would negatively affect our revenues and profitability. In addition to forecasting our capital investment requirements, we adjust other elements of our operations and cost structure in response to adverse economic conditions; however, these adjustments may not be sufficient to allow us to maintain our operating margins.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strategic investments or acquisitions may be unsuccessful.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acquire other assets, technologies, products and businesses that are complementary to our existing business or otherwise. We may also enter into strategic partnerships or cooperation agreements with other businesses to expand our marketplace. Negotiating these transactions can be time-consuming, challenging and expensive, and our ability to close these transactions may often be subject to regulatory approvals that are beyond our control. In addition, investments and acquisitions could result in the use of substantial amounts of cash, potentially dilutive issuances of equity securities, significant amortization expenses related to intangible assets, significant diversion of management attention and exposure to potential unknown liabilities of the acquired business. Moreover, the cost of identifying and consummating investments and acquisitions and integrating the acquired businesses into ours may be significant, and the integration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businesses may be disruptive to our existing business operations. Consequently, these transactions, even if undertaken and announced, may not close. For one or more of those transactions, we may issue additional equity securities that would dilute our shareholders’ ownership interest, use cash that we may need in the future to operate our business, incur debt on terms unfavorable to us or that we are unable to repay, incur expenses or substantial liabilities, encounter difficulties retaining key employees of the acquired company or integrating diverse software codes or business cultures, encounter difficulties in assimilating acquired operations, encounter diversion of management’s attention to other business concerns, and become subject to adverse tax considerations, substantial depreciation, impairment losses, or deferred compensation charges. If our investments and acquisitions are not successful, our business, financial condition, results of operations and prospects may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the performance of members of management and highly skilled IT personnel, and if we are unable to attract, develop, motivate and retain well-qualified employees, our business could be harmed.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continued ability to attract, retain and motivate highly qualified management and other key personnel. We are highly dependent upon our senior management, particularly our chief executive officer, as well as our vice presidents and other members of our senior management team.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increasing scale of our business also requires us to hire and retain a wide range of capable and experienced personnel and technology talents who can adapt to a dynamic, competitive and challenging business environment. Competition for talents is intense, and the availability of suitable and qualified candidates is limited in the jurisdictions in which we operate. Competition for talents, together with inflation, could cause us to offer higher compensation and other benefits to attract and retain them, which further increase our labor cost. Even if we were to offer higher compensation and other benefits, these individuals may not choose to join or continue to work for us. Any failure to attract or retain key management and personnel could severely disrupt our business and growth.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to expand and effectively manage our managerial, operational, financial and other resources in order to successfully pursue our business strategies. We may not be successful in maintaining our unique company culture and continuing to attract or retain qualified management and personnel in the future.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prevent others from unauthorized use of our intellectual property, which could harm our business and competitive position.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wide portfolio of intellectual property to operate our businesses and we may not be able to effectively protect these intellectual property and proprietary rights against infringement, misappropriation or other violations, or efforts to safeguard our intellectual property may be costly.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trademark, copyright and trade secret protection laws in the U.S., the PRC and other jurisdictions, as well as confidentiality procedures and contractual provisions, to protect our intellectual property rights. We enter into confidentiality agreements with our employees and any third parties who may access our proprietary information, and we rigorously control access to our technology and information. However, we cannot guarantee that we have entered into confidentiality agreements with each party that may have or have had access to our trade secrets or proprietary information. Such agreements may be breached by counterparties, who may disclose our proprietary information, including our trade secrets, or claim ownership in intellectual property that we believe is owned by us, and there may not be adequate remedies available to us for any such breach. In addition, we do not enter into intellectual property assignment agreements in the ordinary course, and we rely on the intellectual property rights we obtain from our employees by operation of law. The intellectual property rights we obtain by operation of law may not extend to all intellectual property rights developed by our employees and contractors, and individuals not subject to invention assignment agreements may make adverse ownership claims to our current and future intellectual property rights. We therefore may not possess ownership rights in all intellectual property rights that we regard as our own or that are necessary for the conduct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protection may not be sufficient in the regions in which we operate. Our trademarks or other intellectual property rights may be challenged by others through administrative process or litigation, and our pending trademark applications may not be allowed. In addition, policing any unauthorized use of our intellectual property is difficult, time-consuming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and some courts in the U.S. and certain foreign jurisdictions are less willing or unwilling to protect trade secrets. Furthermore, it is often difficult to maintain and enforce intellectual property rights in the PRC. Statutory laws and regulations in the PRC are subject to judicial interpretation and enforcement and may not be applied consistently due to the lack of clear guidance on statutory interpretation. Confidentiality and non-compete agreements may be breached by counterparties, and there may not be adequate remedies available to us for any such breach. Accordingly, we may not be able to effectively protect our intellectual property rights or the intellectual properties licensed from third parties, or to enforce our contractual rights in the PRC and other jurisdictions in which we operate.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trade secrets may be leaked or otherwise become available to, or be independently discovered by, our competitors. If any of our trade secrets were to be lawfully obtained or independently developed by a competitor or other third parties, we would have no right to prevent them from using that technology or information to compete with us. Any failure in protecting or enforcing our intellectual property rights could have a material adverse effect on our business,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protect and enforce our trademarks and trade names, or build name recognition in our markets of interest thereby harming our competitive position. </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we own have from time to time been and may continue to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third-party trade names or trademarks to avoid potential trademark litigation which may limit our ability to use our trade names or trademarks in certain fields of business.</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We have not yet registered certain of our trademarks in all of our potential markets, although we have registered “GIGACLOUD TECHNOLOGY” and “</w:t>
      </w:r>
      <w:r>
        <w:rPr>
          <w:rFonts w:eastAsia="Arial;sans-serif"/>
          <w:b w:val="false"/>
          <w:color w:val="000000"/>
          <w:sz w:val="18"/>
        </w:rPr>
        <w:t>大健云仓</w:t>
      </w:r>
      <w:r>
        <w:rPr>
          <w:color w:val="000000"/>
        </w:rPr>
        <w:t xml:space="preserve">” </w:t>
      </w:r>
      <w:r>
        <w:rPr>
          <w:rFonts w:ascii="Times New Roman;sans-serif" w:hAnsi="Times New Roman;sans-serif"/>
          <w:b w:val="false"/>
          <w:color w:val="000000"/>
          <w:sz w:val="20"/>
        </w:rPr>
        <w:t xml:space="preserve">in mainland China and Hong Kong. We also acquired valuable intangible assets from the acquisitions of Noble House and Wondersign. If we apply to register these trademarks in other countries and/or other trademarks in the U.S. and other countries, our applications may not be allowed for registration in a timely fashion or at all; further, our registered trademarks may not be maintained or enforced. In addition, third parties may file first for our trademarks in certain countries. If they succeed in registering such trademarks, and if we are not successful in challenging such third-party rights, we may not be able to use these trademarks to market our products and technologies in those countries. If we do not secure registrations for our trademarks, we may encounter more difficulties in enforcing them against third parties than we otherwise would. If we are unable to establish name recognition based on our trademarks and trade names, we may not be able to compete effectively, which could harm our business, financial condition, results of operations and prospects. In addition, over the long term, if we are unable to establish name recognition based on our trademarks, then our marketing abilities may be materially and adversely impacted.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accused of infringing, misappropriating or otherwise violating the intellectual property rights of third parties.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ecommerce industry is characterized by vigorous protection and pursuit of intellectual property rights, which has resulted in protracted and expensive litigation for many companies. We may be subject to claims and litigation by third parties that we infringe, misappropriate or otherwise violate their intellectual property rights. Furthermore, under our current marketplace, the products offered in our marketplace are supplied by third-party merchants, who are separately responsible for sourcing the products that are sold in our marketplace. We have been and may continue to be subject to allegations, and may in the future be subject to lawsuits, claiming that products listed or sold through our marketplace by third-party merchants are counterfeit, unauthorized, illegal, or otherwise infringe, misappropriate or violate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copyrights, trademarks, patents or other intellectual property rights, or that content posted on our user interface contains misleading information on description of products and comparable prices in the U.S., China or any other jurisdictions in which we have operations. The costs of supporting such litigation and disputes are considerable, and there can be no assurances that favorable outcomes will be obtained. Further, the application and interpretation of China’s intellectual property laws and the procedures and standards for granting intellectual property rights in China are still evolving and are uncertain, and we cannot assure you that PRC courts or regulatory authorities would agree with our analysis. As our business expands and the number of competitors in our market increases and overlaps occur, we expect that infringement claims may increase in number and significance. Any claims or proceedings against us, whether meritorious or not, could be time-consuming, result in considerable litigation costs, require significant amounts of management time or result in the diversion of significant operational resources, any of which could materially and adversely affect our business, financial condition and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Legal claims regarding intellectual property rights are subject to inherent uncertainties due to the oftentimes complex issues involved, and we cannot be certain that we will be successful in defending ourselves against such claims. In addition, whereas we currently do not own or in-license any patents, some of our larger competitors have extensive portfolios of issued patents.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pay substantial damages or prevents us from conducting our business as we have historically done or may desire to do in the future. We may also be required to seek a license and pay royalties for the use of such intellectual property, which may not be available on commercially acceptable terms, or at all. Alternatively, we may be required to develop non-infringing technology or intellectual property, which could require significant effort and expense and may ultimately not be successful.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in the past, and we may receive in the future, communications alleging that certain items posted on or sold through our marketplace infringe, misappropriate or otherwise violate third-party copyrights, designs, marks and trade names or other intellectual property rights or other proprietary rights. Brand and content owners and other proprietary rights owners have actively asserted their purported rights against online companies. In addition to litigation from rights owners, we may be subject to regulatory, civil or criminal proceedings and penalties if governmental authorities believe we have aided and abetted in the sale of counterfeit or infringing products. Such claims, whether or not meritorious, may result in the expenditure of significant financial, managerial and operational resources, injunctions against us or the payment of damages by us. We may need to obtain licenses from third parties who allege that we have violated their rights, but such licenses may not be available on terms acceptable to us, or at all. These risks have been amplified by the increase in third parties whose sole or primary business is to assert such claims.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use open source software in connection with our GigaCloud Marketplace. Companies that incorporate 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Additionally, the use and distribution of open source software can lead to greater risks than the use of third-party commercial software, and some open source projects have known vulnerabilities and open source software does not come with warranties or other contractual protections regarding infringement claims or the quality of the code.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While we monitor our use of open source software and try to ensure that none is used in a manner that would require us to disclose our source code or that would otherwise breach the terms of an open source license, such use could inadvertently occur, or could be claimed to have occurred, in part because open source license terms are often ambiguous. These claims could also result in litigation, which could be costly to defend, and if portions of our software are determined to be subject to an open source license or if the license terms for the open source software that we incorporate change, we could be required to publicly release or disclose our source code or pay damages for breach of contract or cease offering the implicated services unless and until we can re-engineer all or a portion of our software, including GigaCloud Marketplace, in a manner that avoids infringement or otherwise change our business, any of which could reduce or eliminate the value of our services and adversely affect our business. The re-engineering process could require us to expend significant additional research and development resources, and we may not be able to complete the re-engineering process successfully. Further, we could be required to seek licenses from third parties to continue using certain software or offering certain of our services or to discontinue the use of such software or the sale of our affected services in the event we could not obtain such licenses, which may not be available to us on commercially reasonable terms or at all. Any of the foregoing could be harmful to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legal and regulatory proceedings from time to time in the ordinary course of our business.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and may in the future be,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The number and significance of our legal disputes and inquiries have increased as we have grown larger, as our business has expanded in scope and geographic reach, and as our services have increased in complexity.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becoming a public company may have raised our public profile, which may result in increased litigation as well as increased public awareness of any such litigation. There is substantial uncertainty regarding the scope and application of many of the laws and regulations to which we are subject, which increases the risk that we will be subject to claims alleging violations of those laws and regulations. In the future, we may also be accused of having, or be found to have, infringed, misappropriated or otherwise violated third-party intellectual property rights.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about a currently pending legal proceeding, see “Items 3. Legal Proceedings.”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insurance coverage may not be sufficient to cover all the risks which our operations are exposed to and therefore we are susceptible to significant liabilities.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insurance coverage. We do not maintain business interruption insurance, cybersecurity insurance or general third-party liability insurance, nor do we maintain key-man life insurance. Although we maintain certain general liability insurance for our warehouses, we cannot assure you that our insurance coverage is sufficient to prevent us from any loss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Trade restrictions could materially and adversely affect our business, financial condition and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facilitating B2B ecommerce transactions for large parcel merchandise. Our cross-border logistics services may be affected by trade restrictions implemented by countries or territories in which our customers are located or in which our customers’ products are manufactured or sold.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we are subject to risks relating to changes in trade policies, tariff regulations, embargoes or other trade restrictions adverse to our customers’ business. Actions by governments that result in restrictions on movement of parcels or otherwise could also impede our ability to carry out our cross-border ecommerce solutions and logistics services. In addition, international trade and political issues, tensions and conflicts may cause delays and interruptions to cross-border transportation and result in limitations on our insurance coverage. If we are unable to connect our global customers to each other in our marketplace or provide solutions to transporting parcels to and from countries with trade restrictions in a timely manner or at all, our business, financial condition and results of operations could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Any lack of requisite approvals, licenses or permits applicable to our business operations may harm our business.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obtain all the licenses and approvals that may be deemed necessary to operate our business. Because we operate in multiple jurisdictions, the relevant laws and regulations, as well as their interpretations, could be different from those in the U.S. This can make it difficult to know which licenses and approvals are necessary, or the processes for obtaining them. For these same reasons, we also cannot be certain that we will be able to maintain the licenses and approvals that we have previously obtained, or that once they expire we will be able to renew them.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 sure that our interpretations of the rules and their exemptions have always been or will be consistent with those of the local regulators.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expand our businesses, we may be required to obtain new licenses and will be subject to additional laws and regulations in the markets we plan to operate in. If we fail to obtain, maintain or renew any required licenses or approvals or make any necessary filings or are found to need licenses or approvals that we believed were not necessary or we were exempted from obtaining, we may be subject to various penalties, such as confiscation of the revenues or assets that were generated through the unlicensed business activities, imposition of fines, suspension or cancellation of the applicable license, written reprimands, termination of third-party arrangements, criminal prosecution and the discontinuation or restriction of our operations. Any such penalties may disrupt our business operations and materially and adversely affect our business,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granted and expect to continue to grant share-based awards in the future under our share incentive plans, which may result in increased share-based compensation expenses.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adopted the 2008 share incentive plan in 2008, together with the amendments thereto, the “2008 Plan,” for the purpose of granting share-based compensation awards to employees, directors and consultants to incentivize their performance and align their interests with ours. As of December 31, 2023, the maximum aggregate number of shares which may be issued pursuant to all awards under the 2008 Plan was 2,513,743 ordinary shares. We are authorized to grant options, share appreciation rights, share awards of restricted shares and non-restricted shares and other types of awards as the administrator of the 2008 Plan decides.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2017, our shareholders and board of directors approved and adopted the 2017 share incentive plan, together with the amendments thereto, the “2017 Plan.” As of December 31, 2023, the maximum aggregate number of shares which may be issued pursuant to all awards under the 2017 Plan was 7,180,928 ordinary shares, subject to an annual increase on the first day of each fiscal year beginning January 1, 2023 and ending on and including January 1, 2027 according to a formula set forth in the 2017 Plan. We are authorized to grant options, share appreciation rights, dividend equivalent rights, restricted shares, restricted share units or other rights or benefits under the 2017 Plan.</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compensation costs for all share options using a fair value-based method and recognize expenses in our consolidated statements of comprehensive income in accordance with U.S. generally accepted accounting principles, or U.S. GAAP. As of December 31, 2023, awards to purchase an aggregate of 6,852,035 ordinary shares under the 2008 Plan and the 2017 Plan were granted, excluding awards that were forfeited, repurchased, cancelled, lapsed, settled or otherwise expired after the relevant grant dates. As a result of these grants, we incurred share-based compensation of $9.7 million, $9.2 million and $2.5 million in 2021, 2022 and 2023, respectively. We will incur additional share-based compensation expenses in the future as we continue to grant share-based incentives.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could be held liable if our GigaCloud Marketplace is used for fraudulent, illegal or improper purposes such as money laundering.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taken and continue to take measures, our GigaCloud Marketplace is susceptible to potentially illegal or improper uses, which could damage our reputation and subject us to liability. These may include the use of our marketplace in connection with fraudulent sales of merchandise and other intellectual property piracy, money laundering, bank fraud and prohibited sales of restricted products. Criminals are using increasingly sophisticated methods to engage in illegal activities such as counterfeiting and fraud, and incidents of fraud could increase in the future. We could be subject to fraud claims if confidential information obtained from our users is used for unauthorized purposes.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risk management policies and procedures may not be fully effective in identifying, monitoring and managing these risks. We are not able to monitor in each case the sources of funds for our digital financial services platform users, or the ways in which they are used. An increase in fraudulent transactions or publicity regarding payment disputes could harm our reputation and reduce customers’ confidence in our marketplace and solutions.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Natural disasters, pandemics, epidemics, acts of war, terrorist attacks and other events could materially and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Severe weather conditions and other natural or man-made disasters, including storms, floods, fires, earthquakes, epidemics, pandemics, conflicts, unrest, terrorist attacks, war, labor unrest, and/or other political instability (including, without limitation, the ongoing conflicts between Russia and Ukraine and Israel and Hamas), may disrupt our business and result in decreased revenues. For example, following the initial conflict between Israel and Hamas, the Houthi movement in Yemen launched a number of attacks on marine vessels traversing the Red Sea causing disruptions for operations across the impacted region. In addition, these types of events could negatively impact ocean transportation and consumer spending in the impacted regions or, depending upon the severity, globally. Customers may reduce their demand for logistics services or shipments, or our costs to operate our business may increase, either of which could have a material adverse effect on us. On March 9, 2024, one of our warehouses in Japan suffered damages due to a warehouse fire. Although we have insurance coverage associated with the damages to the inventory and warehouse equipment and we can still utilize our other three warehouses in Japan with alternative plans to minimize any disruptions to our operations in such warehouse with fire, we may still have some impacts in our warehouse operations. Any such events affecting one of our major facilities could result in a significant interruption in or disruption of our business,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 regulation of the Internet and ecommerce in the U.S. and globally is evolving, and unfavorable changes or failure by us to comply with these regulations could substantially harm our business and results of operations.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general business regulations and laws as well as regulations and laws specifically governing the Internet and ecommerce in the U.S. and globally. Existing and future regulations and laws could impede the growth of the Internet, ecommerce or mobile commerce. These regulations and laws may involve taxes, tariffs, privacy and data security, anti-spam, content protection, electronic contracts and communications, consumer protection, Internet neutrality and gift cards.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Further, if we enter into new market segments or geographical areas and expand the products and services we offer, we may be subject to additional laws and regulatory requirements or prohibited from conducting our business, or certain aspects of it, in certain jurisdictions. We will incur additional costs complying with these additional obligations and any failure or perceived failure to comply would adversely affect our business and reputation.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governments globally and public advocacy groups have been increasingly focused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governments globally on ESG and similar matters may hinder access to capital, as investors may decide to reallocate capital or to not commit capital as a result of their assessment of a company’s ESG practices. In addition, there is also uncertainty regarding potential laws, regulations and policies related to ESG and global environmental sustainability matters, including disclosure obligations and reporting on such matters. Any ESG concern or issue and changes in the legal or regulatory environment affecting ESG and sustainability disclosure, responsible sourcing, supply chain transparency, or environmental protection, among others, could increase our regulatory compliance costs. If we do not adapt to or comply with the evolving expectations and standards on ESG matters from investors and the governments globally or are perceived to have not responded appropriately to the growing concern for ESG issues, regardless of whether there is a legal requirement to do so,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suffer from reputational damage and the business, financial condition and the price of our Class A ordinary shares could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U.S., PRC and certain foreign export and import controls, sanctions, embargoes, anti-corruption laws and anti-money laundering laws and regulations. Compliance with these legal standards could impair our ability to compete in the global markets. We could face criminal liability and other serious consequences for violations, which could harm our business.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We are also subject to anti-bribery laws in the PRC that generally prohibit companies and their intermediaries from making payments to government officials for the purpose of obtaining or retaining business or securing any other improper advantage. State and national anti-corruption laws are interpreted broadly and prohibit companies and their employees and agents from authorizing, promising, offering, providing, soliciting or receiving, directly or indirectly, improper payments or anything else of value to recipients in the public or private sector. We may engage third-party carriers outside of the U.S. to deliver our parcels internationally and/or other third-party agents to obtain necessary permits, licenses, patent registrations and other regulatory approvals in new geographic areas which we are expanding into. We can be held liable for the corrupt or other illegal activities of our employees, agents and third-party carriers,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 </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the U.S.,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provides privacy rights for California residents and imposes obligations on companies that process their personal information, came into effect on January 1, 2020. Among other things, the CCPA requires covered companies to provide new disclosures to California consumers about their data collection, use and sharing practices and provide such consumers new data protection and privacy rights, including the ability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On November 3, 2020, California voters approved a new privacy law, the California Privacy Rights Act, or the CPRA, which significantly modifies the CCPA, including by expanding consumers’ rights with respect to certain personal information and creating a new state agency to oversee implementation and enforcement efforts. The CCPA has prompted a wave of new data privacy laws in other states that share similarities with the CCPA, and similar laws have been proposed in additional states and at the federal level.</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PRC, the PRC regulatory and enforcement regime with regard to cybersecurity, data security and data protection is constantly evolving and can be subject to significant change, making the extent of our obligations in that regard uncertain. In November 2016, the Standing Committee of the National People’s Congress of the PRC, or the Standing Committee of the NPC, promulgated the PRC Cybersecurity Law, which took effect on June 1, 2017. The PRC Cybersecurity Law provides that network operators shall take technical and other necessary measures as required by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and mandatory requirements to safeguard the operation of networks, respond to network security incidents effectively, prevent illegal and criminal activities, and maintain the integrity, confidentiality and usability of network data. In June 2021, the Standing Committee of the NPC promulgated the PRC Data Security Law, which took effect on September 1, 2021. The PRC Data Security Law sets forth data security protection obligations for entities and individuals handling personal data, including that no entity or individual may acquire such data by stealing or other illegal means, and the collection and use of such data should be for the purpose and within the limit that is prescribed by applicable laws and regulations. The PRC Data Security Law also provides that the government will establish a security review procedure for data-related activities that affect or may affect national security. In July 2021, the PRC State Council promulgated the Regulations on Security Protection of Critical Information Infrastructure, which took effect on September 1, 2021. Pursuant to these regulations, critical information infrastructure means key network facilities or information systems of critical industries or sectors, such as public communication and information service, energy, transportation, water conservancy, finance, public services, e-government affairs and national defense science, technology and industry, the damage, malfunction or data leakage of which may seriously endanger national security, people’s livelihood and public interests. Furthermore, in July 2021, the General Office of the Central Committee of the Communist Party of China and the General Office of the State Council jointly promulgated the Opinions on Strictly Cracking Down on Illegal Securities Activities in Accordance with the Law, or the Opinions on Strictly Cracking Down on Illegal Securities Activities, according to which, among other things, relevant governmental authorities are required to improve laws and regulations related to data security, cross-border data transmission, and management of confidential information. In August 2021, the Standing Committee of the NPC promulgated the PRC Personal Information Protection Law, which integrates the scattered rules with respect to personal information rights and privacy protection and took effect on November 1, 2021. The PRC Personal Information Protection Law applies to the processing of personal information within mainland China as well as certain personal information processing activities outside of mainland China, including those for the provision of products and services to natural persons within mainland China or for the analysis and assessment of acts of natural persons within mainland China. Furthermore, the PRC Personal Information Protection Law steps up the protection for personal information and imposes additional requirements in terms of its processing. As the interpretation and implementation of the PRC Personal Information Protection Law remain uncertain, we cannot assure you that we will be deemed to fully comply with the PRC Personal Information Protection Law in all respects, and regulatory authorities may order us to rectify or terminate our current practice of collecting and processing personal information.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28, 2021, the Cyberspace Administration of China, or the CAC, together with other authorities, jointly promulgated the Measures for Cybersecurity Review, which became effective on February 15, 2022 and simultaneously superseded and replaced the cybersecurity review measures that had been in effect since June 2020. According to the Measures for Cybersecurity Review, critical information infrastructure operators that procure internet products and services and network platform operators engaging in data processing activities should be subject to cybersecurity review if their activities affect or may affect national security. The Measures for Cybersecurity Review also expand the cybersecurity review to network platform operators possessing personal information of more than one million users if such operators seek to list on a foreign stock exchange. In addition, relevant PRC regulatory authorities may initiate cybersecurity review if they determine that an operator’s network products or services or data processing activities affect or may affect national security.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2021, the CAC published the Regulations on the Administration of Network Data Security (Draft for Comments), or the Draft Network Data Security Regulations, for public comments until December 13, 2021. The Draft Network Data Security Regulations provide that data processors refer to individuals or organizations that, during their data processing activities such as data collection, storage, utilization, processing, transmission, provision, publication and deletion, have autonomy over the purpose and the manner of data processing. In accordance with the Draft Network Data Security Regulations, a data processor must apply for a cybersecurity review for certain activities, including, among other things, (i) merger, reorganization or division of such internet platform operator that has acquired a large number of data resources related to national security, economic development or public interests, which affects or may affect national security and (ii) any other data processing activity that affects or may affect national security. However, there have been no clarifications from the relevant authorities as of the date of this annual report as to the standards for determining whether an activity is one that “affects or may affect national security.” In addition, the Draft Network Data Security Regulations stipulate that data processors that process “important data” or are listed overseas must conduct an annual data security assessment, either by itself or through a data security service provider, and must submit the assessment report of a given year to the relevant municipal cybersecurity department by the end of January of the following year. As of the date of this annual report, the Draft Network Data Security Regulations have been released for public comment only, and its final provisions and adoption are subject to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annual report, we have not been involved in any formal investigations on cybersecurity or data security initiated by related governmental regulatory authorities, and we have not received any inquiry, notice, warning or sanction in such respect. However, as the Measures for Cybersecurity Review were newly adopted, and the Draft Network Data Security Regulations have not been adopted, there remains uncertainty in the interpretation and enforcement of such PRC cybersecurity and data security laws and regulations. Thus, we cannot assure you whether we would be subject to a cybersecurity review requirement, and if so, that we would be able to pass such review. If the authorized PRC regulatory body subsequently determines that we are required to go through such cybersecurity review or if any other PRC government authorities promulgate any interpretation or implementation rules that would require us to go through a cybersecurity review, we may fail to complete such cybersecurity review procedures in a timely manner, or at all. Any failure or delay in the completion of the cybersecurity review procedures or any other non-compliance with the related laws and regulations may result in fines or other penalties, including suspension of business and website closure as well as reputational damage or legal proceedings or actions against us, which may have a material adverse effect on our business, financial condition or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7, 2022, the CAC issued the Measures for Security Assessment of Cross-border Data Transfer, which took effect on September 1, 2022. According to these measures, in addition to the requirement to conduct self-assessment on the risks of the outbound data transfer, to provide data abroad under any of the following circumstances, a data processor must apply to the national cyberspace department for data security assessment through the provincial-level cyberspace administration authority: (i) outbound transfer of important data by a data processor; (ii) outbound transfer of personal information by a critical information infrastructure operator or a personal information processor who has processed the personal information of more than one million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and (iv) other circumstances where an application for the security assessment of an outbound data transfer is required as prescribed by the national cyberspace administration authority.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12, 2022, the CAC issued the Notice on Seeking Public Comments on the Decision to Amend the Cybersecurity Law of the People’s Republic of China (Draft for Comments), or the Draft Decision to Amend the Cybersecurity Law. According to the Draft Decision to Amend the Cybersecurity Law, the violations of the Cybersecurity Law might be subject to more severe punishment if the Draft Decision to Amend the Cybersecurity Law is implemented in its current form. Specifically, the Draft Decision to Amend the Cybersecurity Law enhanced the punishment against violations of the network operation security obligation, the critical information infrastructure operation security obligation, and the network information security obligation by increasing the upper limits of the fines and imposing additional punishment. The Draft Decision to Amend the Cybersecurity Law also enhanced the punishment against personal information infringement by referencing to the punishment under applicable laws which would include relevant punishment under the PRC Personal Information Protection Law.</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in the EU and the U.K., the collection and use of personal data are governed by the provisions of the GDPR in addition to other applicable laws and regulations. The GDPR imposes strict obligations with respect to, and restrictions on, the collection, use, retention, protection, disclosure, transfer and processing of personal data. The GDPR regulates cross-border transfers of personal data out of the EEA and the U.K., including the U.S. Case law from the Court of Justice of the European Union, or the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 we will have to implement revised standard contractual clauses for existing arrangements within required time frames; and/or it could otherwise affect the manner in which we provide our services, and could adversely affect our business, operations and financial condition. The GDPR authorizes fines for certain violations of up to 4% of the total global annual turnover of the preceding financial year or €20 million/GBP 17.5 million, whichever is greater. Such fines are in addition to any civil litigation claims by data subjects. Other jurisdictions outside the EU are similarly introducing or enhancing privacy and data security laws, rules and regulations, which could increase our compliance costs and the risks associated with non-compliance. In Hong Kong, the Personal Data (Privacy) Ordinance (Chapter 486 of the Laws of Hong Kong), or the PDPO, applies to data users, such as our business, that control the collection, holding, processing or use of personal data in Hong Kong. We are subject to the general requirements under the PDPO, including the need to obtain the prescribed consent of the data subject and to take all practicable steps to protect the personal data held by data users against unauthorized or accidental access, loss or use. Breaches of the PDPO may lead to a variety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civil and criminal sanctions, including fines and imprisonment. In addition, data subjects have a right to bring proceedings in court to seek compensation for damage. We cannot guarantee that we are, or will be, in compliance with all applicable international regulations as they are enforced now or as they evolve.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Many countries have adopted, or are in the process of adopting, regulations governing the use of cookies and similar tracking technologies, and individuals may be required to “opt-in” to their placement for the purposes of marketing. We are also subject to evolving EU and U.K. privacy laws on cookies, tracking technologies and e-marketing. In the EU and the U.K. under national laws derived from the ePrivacy Directive , informed consent is required for the placement of a cookie on a user’s device and for direct electronic marketing which prohibits pre-checked consents and imposes a requirement to ensure separate consents are sought for each type of cookie or similar technology. Recent guidance, court cases and regulatory and consumer group-led action are driving increased attention to compliance with these rules. Increased enforcement of these strict requirements could lead to substantial costs, require significant system changes, limit the effectiveness of our marketing activities, divert the attention of our technology personnel, adversely affect our margins, increase costs and subject us to additional liabilities. Widespread adoption of regulations that significantly restrict our ability to use performance marketing technology could adversely affect our ability to market effectively to current and prospective hosts and guests, and thus materially and adversely affect our business, results of operations and financial condition. In light of the complex and evolving nature of EU, EU Member State and U.K. privacy laws on cookies and tracking technologies, there can be no assurances that we will be successful in our efforts to comply with such laws.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laws and regulations, or similar laws and regulations in the jurisdictions in which we operate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and likely will be subject in the future, to further stringent and changing laws, regulations and standards relating to the provision of platforms, services and goods online. With regard to the current legislation in this area, our actual or perceived failure to comply with such obligations could harm our reputation, subject us to significant fines and liability, or otherwise adversely affect our business or prospects. We may also need to spend significant time and resources on understanding upcoming legislation in this area and considering and implementing changes to our websites, processes, policies and procedures in order to become compliant with current and future legislation. </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and are likely increasingly to become, subject to various laws and regulations, as well as contractual obligations, relating to the provision of goods and services online, online platforms, e-commerce and online contracts, online advertising and the online provision of information and the regulation of online content, in the context of both the B2B and B2C aspects of our business. There is a body of legislation in this area with which we are already required to comply, including the E-Commerce Directive 2000/31/EC, the Consumer Rights Directive 2011/83/EU, as amended by the Directive on better enforcement and modernization of EU consumer protection (EU) 2019/2161 (and member state implementing legislation in each case) and the Electronic Commerce (Amendment etc.) (EU Exit) Regulations 2019, among others. In addition to the current legislative framework, this is an area of current legislative focus for a number of jurisdictions, including the EU and the U.K. For example, on November 16, 2022, the DSA came into force in the EU. The majority of the substantive provisions of the DSA took effect on February 17, 2024. The DSA governs, among other things, the potential liability for illegal services or content on the platform, obligations around traceability of business users, and requires enhanced transparency measures, including in relation to any recommendation systems (including the main parameters used by such systems and any available options for recipients to modify or influence them). In particular, obligations to diligence the services offered on the platform could require significant additional resource.In addition, on October 26, 2023, the Online Safety Act was enacted into law. The Online Safety Act establishes a new regulatory regime to address illegal and harmful content online, including fines and other sanctions in the event of non-compliance. Other jurisdictions, including France, Germany, Singapore and Australia, have each already passed legislation addressing online harms. As such, this regulatory landscape is changing rapidly and becoming increasingly vigorous. The extent of the obligations (at least in certain jurisdictions) and enforcement practices are likely to remain uncertain for the foreseeable future. These laws and regulations may be interpreted and applied differently over time and from jurisdiction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jurisdiction, and it is possible that they will be interpreted and applied in ways that may have a material adverse effect on our business, financial condition, results of operations and prospects.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following the expiration of the specified period, there will be increasing scope for divergence in application, interpretation and enforcement of the data protection law as between the U.K. and the EU. Other jurisdictions outside the EU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online and e-commerce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in this area could result in damage to our reputation, as well as proceedings or litigation by governmental agencies or other third parties, including class action litigation in certain jurisdictions, which could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Corporate Structure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You may face difficulties in protecting your interests, and your ability to protect your rights through U.S. courts may be limited, because we are incorporated under Cayman Islands law.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are an exempted company incorporated under the laws of the Cayman Islands. Our corporate affairs are governed by our memorandum and articles of association, the Companies Act (As Revised) of the Cayman Islands, which we refer to as the Companies Act below,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U.S. In particular, the Cayman Islands have a less developed body of securities laws than the U.S. Some U.S. states, such as Delaware, have more fully developed and judicially interpreted bodies of corporate law than the Cayman Islands. In addition, Cayman Islands companies may not have standing to initiate a shareholder derivative action in a federal court of the U.S.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all of the above, our public shareholders may have more difficulties in protecting their interests in the face of actions taken by our management, our board of directors or controlling shareholders than they would as public shareholders of a company incorporated in the U.S.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Doing Business in China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could be adversely affected by political tensions between the U.S. and the PRC.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2018 and 2019, both the PRC and the U.S. each imposed tariffs that have adversely affected trade between the two countries. Although the U.S. and the PRC reached a Phase One trade deal in January 2020, there was no Phase Two trade deal implemented and most of the tariffs imposed remain in place, while uncertainty persists in the trade relationship between the two countries that impacts the global trade landscape. Although most of third-party suppliers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1P inventory are located in Southeast Asian countries and our 3P sellers are typically responsible for any export taxes and tariffs, we are unable to predict whether any of the countries in which our suppliers’ products are currently manufactured or may be manufactured in the future will be subject to new, different or additional trade restrictions imposed by the U.S. or foreign governments or the likelihood, type or effect of any such restrictions.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Political tensions between the U.S. and the PRC have escalated due to, among other things, trade disputes, the COVID-19 outbreak, sanctions imposed by the U.S. Department of Treasury on certain officials of the Hong Kong Special Administrative Region and the central government of the PRC, U.S. export restrictions regarding China, restrictions on U.S. investments in designated “Communist Chinese Military Companies,” and the executive orders issued by former U.S. President Donald J. Trump that seek to prohibit certain transactions with ByteDance Ltd., Tencent Holdings Ltd., developers of certain software applications and the respective subsidiaries of such companies, as well as the Rules on Counteracting Unjustified Extra-territorial Application of Foreign Legislation and Other Measures promulgated by China’s Ministry of Commerce, or MOFCOM, on January 9, 2021, which will apply to situations where the extra-territorial application of foreign legislation and other measures, in violation of international law and the basic principles of international relations, unjustifiably prohibits or restricts the citizens, legal persons or other organizations of China from engaging in normal economic, trade and related activities with a third State (or region) or its citizens, legal persons or other organizations.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 Furthermore, there have been recent media reports on deliberations within the U.S. government regarding potentially limiting or restricting companies with operations in the PRC from accessing U.S. capital markets. If any such deliberations were to materialize, the resulting legislation may have a material and adverse impact on the stock performance of issuers with operations in the PRC listing in the U.S. It is unclear if this proposed legislation would be enacted.</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part of our revenues is derived from the U.S., and we are required to comply with the U.S. laws and regulations. However, we may be affected by future changes in the U.S. export control and other laws and regulations. If we were unable to transfer our parcels to and out of the U.S., our business, results of operations and financial condition would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the political and economic policies of the PRC government may materially and adversely affect our business, financial condition and results of operations and may result in our inability to sustain our growth and expansion strategies.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PRC Subsidiaries primarily perform cost functions and internal operational functions. Accordingly, our business, financial condition and results of operations are affected to an extent by economic, political and legal developments in the PRC.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the PRC government continues to play a significant role in regulating industry development by imposing industrial policies. While the PRC economy has experienced significant growth in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operations could be materially and adversely affected by government control over capital investments or changes in tax regulations that are applicable to us. In addition, the PRC government has implemented in the past certain measures to control the pace of economic growth. These measures may cause decreased economic activity, which in turn could lead to a reduction in demand for any of our potential products, and consequently have a material adverse effect on our businesses,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There are uncertainties regarding the PRC legal system.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our business operations is conducted in the PRC as our PRC Subsidiaries primarily perform cost functions and internal operational functions in the PRC and is governed by PRC laws, rules and regulations. Our PRC Subsidiaries are subject to laws, rules and regulations applicable to foreign investment in the PRC. The PRC legal system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civil law system based on written statutes. Unlike the common law system, prior court decisions may be cited for reference but have limited precedential value.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1979, the PRC government began to promulgate a comprehensive system of laws, rules and regulations governing economic matters in general. The overall effect of legislation over the past four decades has significantly enhanced the protections afforded to various forms of foreign investment in the PRC. However, the PRC's legal system is developing, and recently enacted laws, rules and regulations may not sufficiently cover all aspects of economic activities in the PRC or may be subject to interpretation by PRC regulatory agencies. In particular, because these laws, rules and regulations are relatively new, and because of the limited number of published decisions and the nonbinding nature of such decisions, and because the PRC laws, rules and regulations sometimes give the relevant regulator discretion in how to enforce them, the interpretation and enforcement of these laws, rules and regulations involve uncertainties. In addition, the PRC legal system is based in part on government policies and mainland China is geographically large and divided into various provinces and municipalities. As such, different policies and rules may have different application and interpretations in different area of mainland China, and it is possible that we may not be aware of our violation of these policies and rules until after the occurrence of the violation.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administrative and court proceedings in the PRC may result in substantial costs and diversion of resources and management attention. Since PRC administrative and court authorities have discretion in interpreting and implementing statutory and contractual terms, it may be difficult to evaluate the outcome of administrative and court proceedings and the level of legal protection we enjoy . These uncertainties may impede our ability to enforce the contracts we have entered into and could materially and adversely affect our business,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operate our GigaCloud Marketplace through our Hong Kong Subsidiary. If the PRC government were to extend its oversight into companies in Hong Kong, our Hong Kong Subsidiary may be subject to additional regulations which could have a material effect on our business operations.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launched our GigaCloud Marketplace under our Hong Kong Subsidiary, GigaCloud Technology (HongKong) Limited (formerly known as Giga Cloud Logistics (Hong Kong) Limited), in 2019. Our PRC Subsidiaries perform cost functions and internal operational functions, but our PRC Subsidiaries do not generate revenue in mainland China, except for the revenue generated from inter-group related party transactions. Accordingly, the laws and regulations of the PRC have an impact on the operational and procurement aspects of our business. Pursuant to the Basic Law of the Hong Kong Special Administrative Region, or the Basic Law, which is a national law of the PRC and the constitutional document for Hong Kong, national laws of the PRC shall not be applied in Hong Kong except for those listed in Annex III of the Basic Law (which shall be confined to laws relating to defense and foreign affairs as well as other matters outside the autonomy of Hong Kong). Whilst the National People’s Congress of the PRC, or the NPC,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PRC Data Security Law and the Measures for Cybersecurity Review, do not apply to our businesses in Hong Kong, other than those provisions of the PRC laws which apply to activities conducted outside of mainland China.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annual report, our Hong Kong Subsidiary has not received any inquiry or notice or any objection from any PRC authority in connection with our operations in Hong Kong. In light of recent statements and regulatory actions by the PRC government related to the PRC’s extension of authority into Hong Kong, there is risk that the PRC government may influence our operations in Hong Kong, as our operations in Hong Kong are subject to political and economic influence from the PRC government. Our Hong Kong Subsidiary may be subject to such direct influence from the PRC government in the future due to changes in laws or other unforeseeable reasons. If certain PRC laws and regulations, including existing laws and regulations and those enacted or promulgated in the future, were to become applicable to our Hong Kong Subsidiary in the future, the application of such laws and regulations may have a material adverse impact on our business operations in Hong Kong. For example, if the PRC Data Security Law were to apply to our Hong Kong Subsidiary, our Hong Kong Subsidiary may be subject to more data security and privacy obligations imposed by the PRC government, and our Hong Kong Subsidiary may be required to obtain licenses for the operation of our ecommerce platform GigaCloud Marketplace and be subject to regulations restricting or prohibiting foreign ownership. Further, the rules and regulations and the enforcement thereof in China can change quickly. In light of recent statements and regulatory actions by the PRC government related to the PRC’s extension of authority into Hong Kong, there is also risk that the PRC government may influence our operations in mainland China and Hong Kong and that our Hong Kong Subsidiary and PRC Subsidiaries may be subject to such direct influence in the future due to changes in laws or other unforeseeable reasons. Any such actions by the PRC government to exert more oversight and control over offerings that are conducted overseas and/or foreign investment in mainland China- and Hong Kong-based issuers could significantly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Hong Kong Subsidiary’s ability to conduct its business and operate our GigaCloud Marketplace in its current form, which could result in a material change in our operations, significantly limit or completely hinder our ability to offer or continue to offer securities to investors and cause the value of our securities to significantly decline or in extreme cases, become worthless.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Implementation of the Law of the PRC on Safeguarding National Security in Hong Kong involves uncertainty, and the recent policy pronouncements by the PRC government regarding business activities of U.S.-listed PRC businesses may negatively impact GigaCloud Group’s existing and future operations in Hong Kong.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2020, the Standing Committee of the NPC promulgated the Law of the PRC on Safeguarding National Security in Hong Kong. The interpretation of the Law of the PRC on Safeguarding National Security in Hong Kong involves a degree of uncertainty.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the PRC government announced that it would step up supervision of overseas-listed PRC businesses. Under the new measures, the PRC government will enhance regulation of cross-border data transmission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Currently these laws (other than the Law of the PRC on Safeguarding National Security in Hong Kong) are expected to apply to mainland China domestic businesses, rather than businesses in Hong Kong, which operate under a different set of laws from mainland China. However, there can be no assurance that the government of Hong Kong will not enact similar laws and regulations applicable to companies operating in Hong Kong.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GigaCloud Group is a pioneer of global end-to-end B2B ecommerce solutions for large parcel merchandise and our global marketplace seamlessly connects manufacturers, primarily in Asia, with resellers, primarily in the U.S., Asia and Europe. We also operate warehouses in five countries across the U.S., Japan, the U.K., Germany and Canada. Although none of our business activities appears to be within the current targeted areas of concern mentioned above by the PRC government, in light of the recent statements and regulatory actions by the PRC government related to the PRC's extension of authority into Hong Kong, there are risks and uncertainties which we cannot foresee for the time being. For example, the government of Hong Kong may enact similar laws and regulations as those in the PRC, which may seek to exert control over offerings conducted overseas by Hong Kong companies. If any or all of the foregoing were to occur, it could lead to a material adverse change in GigaCloud Group’s operations and limit or hinder our ability to offer securities to overseas investors or remain listed in the U.S., which could cause the value of our securities to significantly decline or become worthless.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the approval, filing or other administration requirements of the China Securities Regulatory Commission, or the CSRC, the CAC, or other PRC governmental authorities are applicable to our offshore securities offerings, we cannot assure you that we will be able to obtain such approvals or complete such filings. In addition, complex regulatory procedures applicable to foreign investors conducting acquisitions in China could make it difficult for us to grow through acquisitions.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8, 2006, six PRC regulatory agencies, including the MOFCOM, the State-Owned Assets Supervision and Administration Commission, the State Taxation Administration of PRC, or the SAT, the State Administration for Industry and Commerce, currently known as the State Administration for Market Regulation, or the SAMR, the CSRC, and the State Administration of Foreign Exchange, or the SAFE, jointly adopted the Regulations on Mergers and Acquisitions of Domestic Enterprises by Foreign Investors,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The interpretation and application of the M&amp;A Rules remain unclear, and our offshore offerings may ultimately require approval of the CSRC under the M&amp;A Rules. If the CSRC approval under the M&amp;A Rules is required, it is uncertain whether we can or how long it will take us to obtain the approval and, even if we obtain such CSRC approval, the approval could be rescinded. Any failure to obtain or delay in obtaining the CSRC approval for any of our offshore offerings under the M&amp;A Rules, or a rescission of such approval if obtained by us, would subject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sanctions imposed by the CSRC or other PRC regulatory authorities that may materially and adversely affect our business, financial condition, and results of operations.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2023, the CSRC promulgated the Trial Measures for Overseas Listing and the Guidelines for Overseas Listing, or the Filing Rules, which became effective on March 31, 2023. According to the Filing Rules, a PRC domestic company that seeks to offer and list securities in overseas markets are required to fulfill the filing and reporting requirements with the CSRC if it meets both of the following criteria: (i) any of the operating revenue, total profits, total assets or net assets of the PRC Subsidiaries accounts for more than 50% of the corresponding item in its audited consolidated financial statements for the most recent fiscal year ; and (ii) the main parts of its operating activities are conducted in mainland China, or the principal operation premises are located in mainland China, or the majority of senior management personnel in charge of its business operations and management are PRC citizens or have habitual residences located in mainland China. While we do not believe we satisfy either of the criteria, the Filing Rules further stipulate that the applicability of the Filing Rules shall be determined on a substance-over-form basis. Given that the Filing Rules were recently promulgated, there are uncertainties as to the implementation and interpretation, and how they will affect our future offerings and other financing activities. Particularly, if we are subject to the Filing Rules, we will be required to submit post-issuance filings with respect to our follow-on offerings, issuance of convertible and exchangeable bonds, and other equivalent offering activities. In addition, if we are subject to the Filing Rules but fail to complete such filings with the CSRC in a timely manner or at all, our ability to raise capital through future offering or financing activities will be impacted.</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28, 2021, the CAC, together with other authorities, jointly promulgated the Measures for Cybersecurity Review, which became effective on February 15, 2022 and simultaneously superseded and replaced the cybersecurity review measures that had been in effect since June 2020. According to the Measures for Cybersecurity Review, network platform operators possessing personal information of more than one million users if such operators seek to list on a foreign stock exchange will be subject to the cybersecurity review. In addition, relevant PRC regulatory authorities may initiate cybersecurity review if they determine that an operator’s network products or services or data processing activities affect or may affect national security.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2021, the CAC published the Draft Network Data Security Regulations for public comments. In accordance with the Draft Network Data Security Regulations, data processors that process “important data” or are listed overseas must conduct an annual data security assessment, either by itself or through a data security service provider, and must submit the assessment report of a given year to the relevant municipal cybersecurity department by the end of January of the following year. As of the date of this annual report, the Draft Network Data Security Regulations have been released for public comment only, and its final provisions and adoption are subject to uncertainties.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we have not been involved in any formal investigations on cybersecurity or data security initiated by related governmental regulatory authorities, and we have not received any inquiry, notice, warning or sanction in such respect. However, as the Measures for Cybersecurity Review were newly adopted, and the Draft Network Data Security Regulations have not been adopted, there remains uncertainty in the interpretation and enforcement of such PRC cybersecurity and data security laws and regulations. Thus, we cannot assure you whether we would be subject to a cybersecurity review requirement, and if so, that we would be able to pass such review. If the authorized PRC regulatory body subsequently determines that we are required to go through such cybersecurity review or if any other PRC government authorities promulgate any interpretation or implementation rules that would require us to go through a cybersecurity review, we may fail to complete such cybersecurity review procedures in a timely manner, or at all. Any failure or delay in the completion of the cybersecurity review procedures or any other non-compliance with the related laws and regulations may result in fines or other penalties, including suspension of business and website closure as well as reputational damage or legal proceedings or actions against us, which may have a material adverse effect on our business, financial condition or results of operations.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that the Measures for Cybersecurity Review and the Filing Rules, were newly adopted, and the Draft Network Data Security Regulations has not been adopted, it remains unclear how these laws and regulations will be interpreted, amended and implemented by the relevant PRC governmental authorities, and there remains uncertain in PRC governmental authorities' regulation of overseas listings in general and whether we are required to obtain any specific regulatory approvals or to fulfill any record-filing requirements. As of the date of this annual report, we have not received any inquiry or notice or any objection from the CSRC, the CAC or any other PRC authorities that have jurisdiction over our operations in mainland China and Hong Kong. However, there remains uncertainty regarding the interpretation and enforcement of those newly enacted PRC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regulations also established additional procedures and requirements that are expected to make merger and acquisition activities in the PRC by foreign investors more time-consuming and complex. For example, the M&amp;A Rules require that the MOFCOM be notified in advance of any change-of-control transaction in which a foreign investor takes control of a PRC domestic enterprise if (i) any important industry is concerned, (ii) such transaction involves factors that have or may have impact on the national economic security, or (iii) such transaction will lead to a change in control of a domestic enterprise which holds a famous trademark or PRC time-honored brand. The approval from the MOFCOM shall be obtained in circumstances where overseas companies legitimately established or controlled by PRC enterprises or residents acquire affiliated domestic companies. Mergers, acquisitions or contractual arrangements must also be notified in advance to the anti-monopoly authority under the PRC State Council when the threshold under the Provisions on Thresholds for Prior Notification of Concentrations of Undertakings issued by the PRC State Council in August 2008 and amended respectively in September 2018 and January 2024, is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National Development and Reform Commission, or the NDRC, and the MOFCOM promulgated the Measures for the Security Review of Foreign Investments, which has taken effect on January 18, 2021 and require foreign investors or relevant domestic parties to file a prior report before making a foreign investment if such investment involves, among others, a military-related industry, national defense security or taking control of an enterprise in a key industry that concerns national security; and if a foreign investment will or may affect national security, the relevant party shall report to the standing working office organized by the NDRC and the MOFCOM for the decision of whether to conduct security review. We believe that we, including our PRC Subsidiaries and our Hong Kong Subsidiary, are currently not subject to such record-filing requirements with the NDRC and the MOFCOM under the Measures for the Security Review of Foreign Investments, because we, including our PRC Subsidiaries and our Hong Kong Subsidiary, do not and will not have foreign investments that involve a military-related industry, national defense security or taking control of an enterprise in a key industry that concerns national security. Complying with the requirements of the new regulations to complete such transactions could be time-consuming, and any required approval processes, including approval from the MOFCOM, may delay or inhibit our ability to complete such transactions, which could affect our ability to expand our business or maintain our market share.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treated as a resident enterprise for PRC tax purposes under the PRC Enterprise Income Tax Law, and we may therefore be subject to PRC income tax on our global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PRC Enterprise Income Tax Law and its implementing rules, enterprises established under the laws of jurisdictions outside of the PRC with “de facto management bodies” located in the PRC may be considered PRC tax resident enterprises for tax purposes and may be subject to the PRC enterprise income tax at the rate of 25% on their global income. “De facto management body” refers to a managing body that exercises substantial and overall management and control over the production and operations, personnel, accounting and assets of an enterprise. The SAT issued the Notice Regarding the Determination of Chinese-Controlled Offshore-Incorporated Enterprises as PRC Tax Resident Enterprises on the Basis of De Facto Management Bodies, or Circular 82, on April 22, 2009, which was most recently amended on December 29, 2017. Circular 82 provides certain specific criteria for determining whether the “de facto management body” of a Chinese-controlled offshore-incorporated enterprise is located in the PRC. Further to Circular 82, on July 27, 2011, the SAT issued the Administrative Measures for Enterprise Income Tax of Chinese-Controlled Offshore-Incorporated Resident Enterprises (Trial Version), or Bulletin 45, which became effective on September 1, 2011 and was most recently revised and became effective on June 15, 2018, to provide more guidance on the implementation of Circular 82. Bulletin 45 clarified certain issues in the areas of resident status determination, post-determination administration and competent tax authorities’ procedures. Although Circular 82 and Bulletin 45 only apply to offshore enterprises controlled by PRC enterprises or PRC enterprise groups, not those controlled by foreign enterprises or individuals, the determining criteria set forth in Circular 82 and Bulletin 45 may reflect the SAT’s general position on how the “de facto management body” test should be applied in determining the tax resident status of offshore enterprises, regardless of whether they are controlled by PRC enterprises, PRC enterprise groups or PRC or foreign individuals. If we were to be considered a PRC resident enterprise by the PRC tax authorities for PRC tax purposes, we would be subject to PRC enterprise income tax at the rate of 25% on our global income. In such case, our cash flow may be materially reduced as a result of our global income being taxed under the PRC Enterprise Income Tax Law. We believe that none of our entities outside of the PRC is a PRC resident enterprise for PRC tax purposes. However, the tax resident status of an enterprise is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by the PRC tax authorities and uncertainties remain with respect to the interpretation of the term “de facto management body.”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Dividends paid to our foreign investors and gains on the sale of our Class A ordinary shares by our foreign investors may become subject to PRC tax.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deemed a PRC resident enterprise under the PRC Enterprise Income Tax Law, a number of unfavorable PRC tax considerations could follow. Under the PRC Enterprise Income Tax Law and its implementation regulations issued by the PRC State Council, a 10% PRC withholding tax is applicable to dividends paid to investors that are non-resident enterprises, which do not have an establishment or place of business in mainland China or which have such establishment or place of business but the dividends are not effectively connected with such establishment or place of business, to the extent such dividends are derived from sources within the PRC. Any gain realized on the transfer of our Class A ordinary shares by such investors is also subject to PRC tax at a current rate of 10%, if such gain is regarded as income derived from sources within the PRC. If we are deemed a PRC resident enterprise, dividends paid on our ordinary shares, and any gain realized from the transfer of our Class A ordinary shares, would be treated as income derived from sources within the PRC and would as a result be subject to PRC taxation. Furthermore, if we are deemed a PRC resident enterprise, dividends paid to individual investors who are non-PRC residents and any gain realized on the transfer of our Class A ordinary shares by such investors may be subject to PRC tax (which in the case of dividends may be withheld at source) at a rate of 20%. Any PRC tax liability may be subject to reduction or exemption set forth in applicable tax treaties or under applicable tax arrangements between jurisdictions. However, if we or any of our subsidiaries established outside the PRC are considered a PRC resident enterprise, it is unclear whether holders of our Class A ordinary shares would be able to claim the benefit of income tax treaties or agreements entered into between the PRC and other countries or areas. If dividends paid to our non-PRC investors, or gains from the transfer of our Class A ordinary shares by such investors, are deemed as income derived from sources within the PRC and thus are subject to PRC tax, the value of your investment in our Class A ordinary shares may decline significantly.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and our shareholders face uncertainties with respect to indirect transfers of equity interests in PRC resident enterprises or other assets attributed to a PRC establishment of a non-PRC company, or immovable properties located in the PRC owned by non-PRC companies.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2015, the SAT issued the Bulletin on Issues of Enterprise Income Tax on Indirect Transfers of Assets by Non-PRC Resident Enterprises, or SAT Bulletin 7. In December 2017, Article 13 and Paragraph 2 of Article 8 of SAT Bulletin 7 were abolished. Pursuant to this SAT Bulletin 7 (as amended), an “indirect transfer” of assets, including non-publicly traded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SAT Bulletin 7, “PRC taxable assets” include assets attributed to an establishment in the PRC, immovable properties located in the PRC,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without limitation: whether the main value of the equity interest of the relevant offshore enterprise, directly or indirectly, derives from PRC taxable assets; whether the assets of the relevant offshore enterprise mainly consist of direct or indirect investment in the PRC or if its income mainly, directly or indirectly, derives from the PRC; whether the offshore enterprise and its subsidiaries directly or indirectly holding PRC taxable assets have real commercial nature which is evidenced by their actual function and risk exposure; the duration of existence of the shareholder, the business model and organizational structure of the offshore enterprise; information about the payment of due income tax outside the PRC on indirect transfer of PRC taxable assets; the replicability of indirect investment and indirect transfer of taxable assets by direct investment and direct transfer of PRC taxable assets; and the tax treaties or similar arrangements applicable in the PRC for income derived from indirect transfer of taxable assets in the PRC.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the PRC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SAT Bulletin 7 does not apply to transactions of sale of shares by investors through a public stock exchange where such shares were acquired from a transaction through a public stock exchange. On October 17, 2017, the SAT promulgated Announcement of the SAT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Issues Concerning the Withholding of Non-resident Enterprise Income Tax at Source, or SAT Circular 37, which became effective on December 1, 2017 and was most recently amended on June 15, 2018. SAT Circular 37, among other things, simplified procedures of withholding and payment of income tax levied on non-resident enterprises.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uncertainties as to the reporting and other implications of certain past and future transactions where PRC taxable assets are involved, such as offshore restructuring and sale of the shares in our offshore subsidiaries or investments. Our company may be subject to filing obligations or taxed if our company is transferor in such transactions, and may be subject to withholding obligations if our company is transferee in such transactions under SAT Bulletin 7 and SAT Circular 37. For transfer of shares in our company by investors that are non-PRC resident enterprises, our PRC Subsidiaries may be requested to assist in the filing under SAT Bulletin 7 and SAT Circular 37. As a result, we may be required to expend valuable resources to comply with SAT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PRC regulation of loans to, and direct investments in, PRC entities by offshore holding companies and governmental control of currency conversion may restrict or prevent us to make loans or additional capital contributions to our PRC Subsidiaries, which could materially and adversely affect our liquidity and our ability to fund and expand our business.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SAFE, and capital contributions to our PRC Subsidiaries must be registered with competent governmental authorities in the PRC.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SAFE promulgated the Notice of the SAFE on Reforming the Administration of Foreign Exchange Settlement of Capital of Foreign-invested Enterprises, or Circular 19, effective on June 1, 2015, which was most recently amended on March 23, 2023. According to Circular 19, the flow and use of RMB capital converted from foreign currency-denominated registered capital of a foreign-invested company are regulated such that RMB capital may not be used, whether directly or indirectly, for the issuance of RMB entrusted loans, the repayment of inter-enterprise loans (including third-party advance) or the repayment of bank loans that have been transferred to a third party. Although Circular 19 allows RMB capital converted from foreign currency-denominated registered capital of a foreign-invested enterprise to be used for equity investments within the PRC, it also reiterates the principle that RMB capital converted from the foreign currency-denominated capital of a foreign-invested company may not be directly or indirectly used for purposes beyond its business scope. Thus, it is unclear whether the SAFE will permit such capital to be used for equity investments in the PRC in actual practice. The SAFE promulgated the Notice of the SAFE on Reforming and Regulating the Foreign Exchange Settlement Management Policy of Capital Account, or Circular 16, effective on June 9, 2016 and amended on December 4, 2023, which reiterates some of the rules set forth in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Circular 19 and Circular 16 could result in administrative penalties. Circular 19 and Circular 16 may significantly limit our ability to transfer any foreign currency we hold, including any proceeds from our future financing activities, to our PRC Subsidiaries, which may adversely affect our liquidity and our ability to fund and expand our business in the PRC.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23, 2019, the SAFE promulgated the Notice of the SAFE on Further Promoting the Convenience of Cross-border Trade and Investment, or the SAFE Circular 28, as amended on December 4, 2023, which permits non-investment foreign-invested enterprises to use their capital funds to make equity investments in the PRC, with genuine investment projects and in compliance with effective foreign investment restrictions and other applicable laws. However, as the SAFE Circular 28 was issued recently, there are still uncertainties as to its interpretation and implementations in practice.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the various requirements imposed by PRC regulations on loans to, and direct investments in, PRC entities by offshore holding companies, we cannot assure you that we will be able to complete the necessary government registrations or obtain the necessary government approvals on a timely basis, if at all, with respect to future loans or future capital contributions by us to our PRC Subsidiaries. As a result, uncertainties exist as to our ability to provide prompt financial support to our PRC Subsidiaries when needed. If we fail to complete such registrations or obtain such approvals, our ability to use foreign currency, including any proceeds we received from our future financing activities,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 or otherwise fund our PRC operations may be negatively affected, which could materially and adversely affect our liquidity and our ability to fund and expand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Any failure to comply with PRC regulations regarding the registration requirements for employee share incentive plans may subject our equity incentive plan participants or us to fines and other legal or administrative sanctions.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15, 2012, the SAFE promulgated the Notices of the SAFE on Issues Relating to the Foreign Exchange Administration for Domestic Individuals Participating in Stock Incentive Plan of Overseas Publicly Listed Company, replacing earlier rules promulgated in 2007. Pursuant to these rules, PRC citizens and non-PRC citizens who reside in mainland China for a continuous period of not less than one year and participate in any share incentive plan of an overseas publicly listed company are required to register with the SAFE through a domestic qualified agent, which could be the PRC subsidiaries of such overseas-listed company, and complete certain other procedures, unless certain exceptions are available. In addition, an overseas-entrusted institution must be retained to handle matters in connection with the exercise or sale of share options and the purchase or sale of shares and interests. We and our executive officers and other employees who are PRC citizens or non-PRC citizens living in mainland China for a continuous period of not less than one year and have been granted options are subject to these regulations . Failure to complete the SAFE registrations may subject them to fines of up to RMB300,000 for entities and up to RMB50,000 for individuals and may also limit our ability to contribute additional capital to our PRC Subsidiaries and our PRC Subsidiaries’ ability to distribute dividends to us. We also face regulatory uncertainties that could restrict our ability to adopt additional incentive plans for our directors, executive officers and employees under PRC law.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SAT has issued certain circulars concerning employee share options and restricted shares. Under these circulars, our employees working in mainland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for those employees who exercise their share options. If our employees fail to pay or we fail to withhold their income taxes according to relevant laws and regulations, we may face sanctions imposed by the tax authorities or other PRC government authorities.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July 4, 2014, the SAFE promulgated the Notice on Issues Relating to Foreign Exchange Administration over the Overseas Investment and Financing and Round-trip Investment by Domestic Residents via Special Purpose Vehicles, or the SAFE Circular 37. The SAFE Circular 37 requires PRC residents (including PRC individuals and PRC corporate entities, as well as foreign individuals that are deemed PRC residents for foreign exchange administration purposes) to register with the SAFE or its local branches in connection with their direct or indirect offshore investment activities. The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The SAFE Circular 37 is applicable to our shareholders or beneficial owners who are PRC residents and may be applicable to any offshore acquisitions that we make in the future. According to the Notice of the SAFE on Further Simplifying and Improving the Foreign Exchange Administration Policies for Direct Investment, promulgated by the SAFE on February 13, 2015 and effective on June 1, 2015, local banks will examine and handle foreign exchange registration for overseas direct investment, including the initial foreign exchange registration and amendment registration, under the SAFE Circular 37 from June 1, 2015.</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shareholders or beneficial owners who are PRC residents or entities do not complete their registration with the local SAFE branches or qualified local banks, our PRC Subsidiaries may be prohibited from distributing to us its profits and proceeds from any reduction in capital, share transfer or liquidation, and we may be restricted in our ability to contribute additional capital to our PRC Subsidiaries. Moreover, failure to comply with the SAFE registration described above could result in liability under PRC laws for evasion of applicable foreign exchange restrictions.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informed of the identities of all the PRC residents or entities holding direct or indirect interest in our company, nor can we compel our shareholders or beneficial owners to comply with SAFE registration requirements. We cannot assure you that all shareholders or beneficial owners of ours who are PRC residents or entities have complied with, and will in the future make, obtain or update any applicable registrations or approvals required by, SAFE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failure or inability of such shareholders or beneficial owners to comply with SAFE regulations, or failure by us to amend the foreign exchange registrations of our PRC Subsidiaries, could subject us or the non-complaint shareholders or beneficial owners to fines or legal sanctions, restrict our overseas or cross-border investment activities, limit our PRC Subsidiaries’ ability to make distributions or pay dividends to us or affect our ownership structure. As a result, our business operations and our ability to distribute any future profits to you could be materially and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Governmental control of currency conversion may limit our ability to utilize our revenues, transfer or distribute cash within our group effectively and affect the value of your investment.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PRC government imposes controls on the convertibility of the Renminbi into foreign currencies and the remittance of currency out of mainland China. Under our current corporate structure, our Cayman Islands holding company may rely on dividend payments from our subsidiaries to fund any cash and financing requirements we may have. The ability of our subsidiaries to pay dividends to us may be restricted by the debt they incur on their own behalf or laws and regulations applicable to them. Our PRC Subsidiaries perform cost functions and internal operational functions and none of our PRC Subsidiaries have issued any dividends or distributions. Although we did not rely on our PRC Subsidiaries to issue dividends or other distributions on equity in the past, in the event that our PRC Subsidiaries were to issue dividends or distribution to us out of mainland China in the future, our PRC Subsidiaries may be subject to the applicable foreign currency control. To date, there have not been any such dividends or other distributions from our PRC Subsidiaries to our subsidiaries located outside of mainland China. In addition, save as disclosed, as of the date of this annual report, none of our subsidiaries have ever issued any dividends or distributions to us or their respective shareholders outside of mainland China.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Under existing PRC foreign exchange regulations, payments of current account items, including profit distributions, interest payments and trade and service-related foreign exchange transactions, can be made in foreign currencies without prior approval of the SAFE by complying with certain procedural requirements. Specifically, under the existing exchange restrictions, without prior approval of the SAFE, cash generated from the operations of our PRC Subsidiaries in mainland China, if any, may be used to pay dividends to our company. However, approval from or registration or filing with appropriate government authorities is required where Renminbi is to be converted into foreign currency and remitted out of mainland China to pay capital expenses such as the repayment of loans denominated in foreign currencies. As a result, we need to obtain SAFE approval to use cash generated from the operations of our PRC Subsidiaries, if any, to pay off their respective debt in a currency other than Renminbi owed to entities outside of mainland China, or to make other capital expenditure payments outside of mainland China in a currency other than Renminbi. To the extent cash is generated in our PRC Subsidiaries,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the imposition of restrictions and limitations on the ability of us and our subsidiaries to transfer assets by the PRC law.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the imposition of restrictions and limitations on the ability of us and our subsidiaries to transfer funds or assets by the PRC law. Furthermore, there can be no assurance that the PRC government will not intervene in or impose restrictions or limitations on GigaCloud Group’s ability to transfer or distribute cash within its organization, which could result in an inability or prohibition on making transfers or distributions to entities outside of mainland China and Hong Kong and adversely affect its business. Saved as the foregoing limitations imposed by the PRC government as described hereto, there are currently no limitations on our or our subsidiaries’ ability to transfer cash to investors.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the flood of capital outflows of the PRC in 2016 due to the weakening Renminbi, the PRC government has imposed more restrictive foreign exchange policies and stepped-up scrutiny of major outbound capital movement including overseas direct investment. More restrictions and a substantial vetting process have been put in place by the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PRC authorities.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 litigation and negative publicity surrounding companies listed in the U.S. with operations in the PRC may result in increased regulatory scrutiny of us and negatively impact the trading price of our Class A ordinary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litigation and negative publicity surrounding companies with operations in the PRC that are listed in the U.S. have negatively impacted stock prices for such companies. Various equity-based research organizations have published reports on companies with operations in the PRC after examining, among other things, their corporate governance practices, related party transactions, sales practices and financial statements that have led to special investigations and stock suspensions on national exchanges. Due to our operations in the PRC, any similar scrutiny of us, regardless of its lack of merit, could result in a diversion of management resources and energy, potential costs to defend ourselves against rumors, decreases and volatility in the trading price of our Class A ordinary shares, and increased director and officer insurance premiums, and could have a material adverse effect upon our business, results of operations and financial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enforcement of the PRC Labor Contract Law, and other labor-related regulations in the PRC may increase our labor costs and limit our flexibility to use labor. Our failure to comply with PRC labor-related laws may expose us to penalties.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2007, the Standing Committee of the NPC enacted the PRC Labor Contract Law, which became effective on January 1, 2008 and was amended on December 28, 2012. The PRC Labor Contract Law introduces specific provisions related to fixed-term employment contracts, part-time employment, probation, consultation with labor unions and employee assemblies, employment without a written contract, dismissal of employees, severance, and collective bargaining, which together represent enhanced enforcement of labor laws and regulations. According to the PRC Labor Contract Law, an employer is obliged to sign an unfixed-term labor contract with any employee who has worked for the employer for 10 consecutive years. Further, if an employee requests or agrees to renew a fixed-term labor contract that has already been entered into twice consecutively, the resulting contract must have an unfixed term, with certain exceptions. The employer must pay economic compensation to an employee where a labor contract is terminated or expires in accordance with the PRC Labor Contract Law, except for certain situations that are specifically regulated. As a result, our ability to terminate employees is significantly restricted. In addition, the government has issued various labor-related regulations to further protect the rights of employees. According to the Regulations on Paid Annual Leave of Employees, promulgated by the PRC State Council on December 14, 2007 and effective on January 1, 2008, employees are entitled to annual leave ranging from five to 15 days and are able to be compensated for any untaken annual leave days in the amount of three times their daily salary, subject to certain exceptions. In the event that we decide to change our employment or labor practices, the PRC Labor Contract Law and its implementation rules may also limit our ability to effect those changes in a manner that we believe to be cost-effective. In addition, as the interpretation and implementation of these regulations are still evolving, our employment practices may not be at all times deemed in compliance with the regulations. If we are subject to severe penalties or incur significant liabilities in connection with labor disputes or investigations, our business and financial conditions may be adversely affected.</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operating in the PRC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The requirement to maintain employee benefit plans has not been implemented consistently by local governments in the PRC given the different levels of economic development in different locations. We may not pay social security and housing fund contributions in strict compliance with the relevant PRC regulations for and on behalf of our employees due to differences in local regulations, inconsistent implementation or interpretation by local authorities in the PRC and varying levels of acceptance of the housing fund system by our employees. We may be subject to fines and penalties for any such failure to make payments in accordance with the applicable PRC laws and regulations. We may be required to make up the contributions for these plans as well as to pay late fees and fines. If we are subject to penalties, late fees or fines in relation to any underpaid employee benefits, our financial condition and results of operations may be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leasehold interests in leased properties have not been registered with the relevant PRC governmental authorities as required by relevant PRC laws. The failure to register leasehold interests may expose us to potential fines.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registered any of our lease agreements with the relevant government authorities. According to the Administrative Measures for Commodity Housing Leasing, which was promulgated by the Ministry of Housing and Urban-Rural Development on December 1, 2010 and came into effect on February 1, 2011, we are required to register and file with the relevant government authority executed leases. The failure to register the lease agreements for our leased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properties will not affect the validity of these lease agreements, but the competent housing authorities may order us to register the lease agreements in a prescribed period of time and impose a fine ranging from RMB1,000 to RMB10,000 for each non-registered lease if we fail to complete the registration within the prescribed timeframe.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ability of U.S. authorities to bring actions for violations of U.S. securities law and regulations against us, our directors or executive officers may be limited. Therefore, you may not be afforded the same protection as provided to investors in the U.S. domestic companies.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the U.S. Department of Justice, or the DOJ, and other U.S. authorities often have substantial difficulties in bringing and enforcing actions against non-U.S. incorporated companies, such as us, and non-U.S. persons, such as our some of our executive officers in mainland China and Hong Kong. Due to jurisdictional limitations, matters of comity and various other factors, the SEC, the DOJ and other U.S. authorities may be limited in their ability to pursue bad actors, including in instances of fraud, in emerging markets such as the PRC. Some of our executive officers are located in mainland China and Hong Kong. There are legal and other obstacles for U.S. authorities to obtain information needed for investigations or litigation against us or our directors, executive officers or other gatekeepers in case we or any of these individuals engage in fraud or other wrongdoing. In addition, local authorities in the PRC may be constrained in their ability to assist U.S. authorities and overseas investors in connection with legal proceedings. As a result, if we, our directors, executive officers or other gatekeepers commit any securities law violation, fraud or other financial misconduct, the U.S. authorities may not be able to conduct effective investigations or bring and enforce actions against us, our directors, executive officers or other gatekeepers. Therefore, you may not be able to enjoy the same protection provided by various U.S. authorities as it is provided to investors in the U.S. domestic companies.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You may experience difficulties in effecting service of legal process, enforcing foreign judgments or bringing original actions outside of the U.S., based on U.S. or other foreign laws, against us, our directors or executive officers. Therefore, you may not be able to enjoy the protection of such laws in an effective manner.</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company incorporated under the laws of the Cayman Islands and some of our directors and executive officers are located outside of the U.S. As a result, it may not be possible to effect service of process outside of the U.S. upon us, our directors and executive officers, including with respect to matters arising under U.S. federal securities laws or applicable state securities laws. Even if you obtain a judgment against us, such directors or executive officers in a U.S. court, you may not be able to enforce such judgment against us or them outside of the U.S.Therefore, investors may not be able to effectively enjoy the protection offered by the U.S. laws and regulations that are intended to protect public investors.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Class A Ordinary Shares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 active, liquid and orderly market for our Class A ordinary shares may not develop, and you may not be able to resell the shares at or above the purchase price.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Class A ordinary shares are listed on the Nasdaq, an active trading market for our Class A ordinary shares may never develop or be sustained . The lack of an active market may impair your ability to sell the shares at the time you wish to sell them or at a price that you consider reasonable. An inactive market may also impair our ability to raise capital by selling our Class A ordinary shares and may impair our ability to acquire other businesses or technologies using our Class A ordinary shares as consideration, which, in turn, could materially and adversely affect our business,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trading price of our Class A ordinary shares could be highly volatile, and purchasers of our Class A ordinary shares could incur substantial losses.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ordinary shares is likely to be volatile. The stock market in general and the market for shares of ecommerce solutions companies in particular have experienced extreme volatility that has often been unrelated to the operating performance of particular companies. As a result of this volatility, investors may not be able to sell our Class A ordinary shares at or above the price they acquired our shares. The market price for our Class A ordinary shares may be influenced by those factors discussed in this “Item 1A. Risk Factors” section and many others, including:</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regulatory developments in the U.S., the PRC and foreign countries;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innovations or new products or solution offerings developed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or capital commitments;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supply or distribution delays or shortages;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any changes to our relationships with any third-party ecommerce platforms, sellers and buyers or other strategic partners;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achievement of expected product sales and profitability;</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market conditions in the large parcel merchandise and ecommerce solutions market and issuance of securities analysts’ reports or recommendations;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trading volume of our Class A ordinary shares;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 inability to obtain additional funding;</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sales of our securities by insiders and shareholders;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general economic, industry and market conditions and other events or factors, many of which are beyond our control;</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additions or departures of key personnel;</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the impact of the COVID-19 pandemic or other pandemics or epidemics;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reputational damage by short-seller reports; and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intellectual property, product liability or other litigation against us.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past, shareholders of public companies have initiated class action lawsuits against those companies following periods of volatility in the market prices of those companies’ shares. Such litigation, if instituted against us, could cause us to incur substantial costs and divert management’s attention and resources, which could have a material adverse effect on our business, financial condition and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failure to meet the continued listing requirements of the Nasdaq could result in a delisting of our Class A ordinary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ordinary shares are currently listed on the Nasdaq Global Market. If we fail to satisfy the continued listing requirements of the Nasdaq, such as the corporate governance requirements or the minimum closing bid price requirement, the Nasdaq Global Market may take steps to delist our Class A ordinary shares. Such a delisting would likely have a negative effect on the price of our Class A ordinary shares and would impair your ability to sell or purchase our Class A ordinary shares when you wish to do so. In the event of a delisting, we can provide no assurance that any action taken by us to restore compliance with listing requirements would allow our Class A ordinary shares to become listed again, stabilize the market price or improve the liquidity of our Class A ordinary shares, prevent our Class A ordinary shares from dropping below the Nasdaq minimum bid price requirement or prevent future non-compliance with the Nasdaq’s listing requirements.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allocate the net proceeds from any of our future offshore offerings in ways that you may not approve.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will have broad discretion in the application of the net proceeds from any of our future offerings. Because of the number and variability of factors that will determine our use of the net proceeds from our offshore offerings, their ultimate use may vary substantially from their currently intended use. Our management might not apply the net proceeds in ways that ultimately increase the value of your investment, and the failure by our management to apply these funds effectively could harm our business. Pending their use, we may plan to invest the net proceeds in investments that may not yield a favorable return to our shareholders. If we do not invest or apply the net proceeds in ways that enhance the shareholder value, we may fail to achieve expected results, which could cause the price of our Class A ordinary shares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executive officers, directors and principal shareholders, if they choose to act together, will continue to have the ability to control or significantly influence all matters submitted to shareholders for approval. Furthermore, many of our current directors were appointed by our principal shareholders.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executive officers, directors and greater than 5% shareholders, in the aggregate, will beneficially own approximately 43.0% of our total issued and outstanding ordinary shares, or 81.4% of the total voting power. As a result, such persons or their appointees to our board of directors, acting together, will have the ability to control or significantly influence all matters submitted to our board of directors or shareholders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shareholders.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securities, and, consequently, your ability to achieve a return on your investment will depend on appreciation, if any, in the price of our Class A ordinary shares.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as a Cayman Islands company we may pay a dividend out of either our profit or the share premium account of our company, provided that in no circumstances may we pay a dividend if this would result in our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depend on any future price appreciation of our Class A ordinary shares. There is no guarantee that our Class A ordinary shares will appreciate in value or even maintain the price at which you purchased our Class A ordinary shares. You may not realize a return on your investment in our Class A ordinary shares and you may even lose your entire investment in our Class A ordinary shares.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Sales of a substantial number of our Class A ordinary shares by our existing shareholders in the public market could cause the price of our Class A ordinary shares to fall.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our Class A ordinary shares in the public market or the perception that these sales might occur could significantly reduce the market price of our Class A ordinary shares and impair our ability to raise adequate capital through the sale of additional equity securities.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40,781,880 issued and outstanding ordinary shares, comprised of 31,455,148 Class A ordinary shares (which had excluded an aggregate of 68,283 Class A ordinary shares issued and reserved for future allocation upon exercise or vesting of awards granted under our share incentive plans, and 215,201 Class A ordinary shares repurchased under our share repurchased program but not yet cancelled) and 9,326,732 Class B ordinary shares. 3,381,000 Class A ordinary shares of these issued and outstanding shares were issued at our initial public offering and are freely tradable, without restriction, in the public market. Additional shares, including the shares held by directors, executive officers and other affiliates which will be subject to volume limitations under Rule 144 under the Securities Act, are eligible for sale in the public market. In addition, additional ordinary shares that are either subject to outstanding options or reserved for future issuance under our employee benefit plans will become eligible for sale in the public market to the extent permitted by the provisions of various vesting schedules and Rule 144 and Rule 701 under the Securities Act. If these additional ordinary shares are sold, or if it is perceived that they will be sold, in the public market, the trading price of our Class A ordinary shares could decline.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holders of our ordinary shares will be entitled to rights with respect to the registration of their shares under the Securities Act, subject to vesting. Registration of these shares under the Securities Act would result in the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becoming freely tradable without restriction under the Securities Act, except for shares held by affiliates, as defined in Rule 144 under the Securities Act. Any sales of securities by these shareholders could have a material adverse effect on the trading price of our Class A ordinary shares.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an emerging growth company, and the reduced disclosure requirements applicable to emerging growth companies may make our Class A ordinary shares less attractive to investors.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not being required to comply with the auditor attestation requirements in the assessment of our internal control over financial reporting;</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not being required to comply with any requirement that may be adopted by the PCAOB regarding mandatory audit firm rotation or a supplement to the auditor’s report providing additional information about the audit and the financial statements;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reduced disclosure obligations regarding executive compensation; and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exemptions from the requirements of holding a nonbinding advisory vote on executive compensation and shareholder approval of any golden parachute payments not previously approved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taken advantage of reduced reporting burdens. In particular, in this annual report, we have not included all of the executive compensation related information that would be required if we were not an emerging growth company. We cannot predict whether investors will find our Class A ordinary shares less attractive if we rely on these exemptions. If some investors find our Class A ordinary shares less attractive as a result, there may be a less active trading market for our Class A ordinary shares and the trading price of our Class A ordinary shares may be reduced or more volatile.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t>
      </w:r>
    </w:p>
    <w:p>
      <w:pPr>
        <w:pStyle w:val="TextBody"/>
        <w:bidi w:val="0"/>
        <w:spacing w:lineRule="auto" w:line="288" w:before="240" w:after="283"/>
        <w:jc w:val="left"/>
        <w:rPr/>
      </w:pPr>
      <w:r>
        <w:rPr>
          <w:rFonts w:ascii="Times New Roman;sans-serif" w:hAnsi="Times New Roman;sans-serif"/>
          <w:b/>
          <w:i/>
          <w:color w:val="000000"/>
          <w:sz w:val="20"/>
        </w:rPr>
        <w:t>As a domestic U.S. issuer, we are subject to U.S. securities law disclosure requirements that apply to a domestic U.S. issuer</w:t>
      </w:r>
      <w:r>
        <w:rPr>
          <w:rFonts w:ascii="Times New Roman;sans-serif" w:hAnsi="Times New Roman;sans-serif"/>
          <w:b/>
          <w:color w:val="000000"/>
          <w:sz w:val="20"/>
        </w:rPr>
        <w:t xml:space="preserve">. </w:t>
      </w:r>
      <w:r>
        <w:rPr>
          <w:rFonts w:ascii="Times New Roman;sans-serif" w:hAnsi="Times New Roman;sans-serif"/>
          <w:b/>
          <w:i/>
          <w:color w:val="000000"/>
          <w:sz w:val="20"/>
        </w:rPr>
        <w:t>We will incur significant additional legal, accounting and other expenses that we will not incur as a foreign private issuer, and accounting, reporting and other expenses in order to maintain a listing on a U.S. securities exchange.</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we announced that, in accordance with the definition of “foreign private issuer” in Rule 405 under the United States Securities Act of 1933, as amended, or the Securities Act, and Rule 3b-4 under the United States Securities Exchange Act of 1934, as amended, or the Exchange Act, which require a foreign company to determine its status as a foreign private issuer on an annual basis, as of the end of its second fiscal quarter, we determined that we ceased to qualify as a “foreign private issuer” as of June 30, 2023, being the last business day of our most recently completed second fiscal quarter. Once an issuer fails to qualify for foreign private issuer status it will remain unqualified unless it meets the requirements for foreign private issuer status as of the last business day of its second fiscal quarter. Accordingly, we are not able to use the forms and rules designated for foreign private issuers after December 31, 2023, being the final day of our current fiscal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on January 1, 2024, we are subject to the same reporting and disclosure requirements applicable to domestic U.S. companies, and we will be required to file periodic reports and financial statements prepared in accordance with U.S. GAAP. with the SEC on Form 10-K and Form 10-Q, as applicable, as well as filing current reports on Form 8-K,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Stock Market Listing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Rules. As a U.S.-listed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Class A ordinary shares may be prohibited from trading in the U.S. under the HFCAA in the future, if the PCAOB is unable to inspect or investigate auditors located in China completely. The delisting of our Class A ordinary shares, or the threat of their being delisted, may materially and adversely affect the value of your investment.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auditor, the independent registered public accounting firm that issues the audit report included elsewhere in this annual report, as an auditor of companies that are traded publicly in the U.S. and a firm registered with the PCAOB, is subject to laws in the U.S. pursuant to which the PCAOB conducts regular inspections to assess its compliance with the applicable professional standards. Our auditor is located in China, a jurisdiction where the PCAOB was unable to conduct inspections and investigations completely without the approval of the Chinese authorities prior to 2022.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HFCAA was enacted on December 18, 2020. The HFCAA provides that if the SEC determines that an issuer has filed audit reports issued by a registered public accounting firm that has not been able to be subject to inspection by the PCAOB, the issuer shall be identified as a “Commission-identified Issuer,” and upon two consecutive years of non-inspection under the HFCAA, the SEC shall prohibit its securities from being traded on a national securities exchange or in the over the counter trading market in the U.S. On September 22, 2021, the PCAOB adopted a final rule implementing the HFCAA, which provides a framework for the PCAOB to use when determining, as contemplated under the HFCAA, whether the PCAOB is unable to inspect or investigate registered public accounting firms located in a foreign jurisdiction completely because of a position taken by one or more authorities in that jurisdiction. On December 16, 2021, the PCAOB issued a report on its determinations that the PCAOB was unable to inspect or investigate PCAOB-registered public accounting firms headquartered in mainland China and Hong Kong completely, because of positions taken by PRC authorities in these jurisdictions. The PCAOB included in its report a list of registered public accounting firms headquartered in mainland China and Hong Kong that the PCAOB was unable to inspect or investigate completely, including our auditor. On December 15, 2022, the PCAOB removed mainland China and Hong Kong from the list of jurisdictions where it was unable to inspect or investigate registered public accounting firms completely.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Each year, the PCAOB will determine whether it can inspect and investigate audit firms completely in mainland China and Hong Kong, among other jurisdictions. Whether the PCAOB will continue to be able to conduct inspections of PCAOB-registered public accounting firms headquartered in China is subject to uncertainty and depends on a number of factors out of our and our auditor’s control. If the PCAOB determines in the future that it no longer has full access to inspect and investigate accounting firms in mainland China and Hong Kong completely and we use an accounting firm headquartered in one of these jurisdictions to issue an audit report on our financial statements filed with the SEC, we would be identified as a Commission-Identified Issuer following the filing of the annual report on Form 10-K for the relevant fiscal year. Given that we have operations in the U.S., we may in the future maintain our accounting books and records in the U.S., and if required by the HFCAA, the PCAOB or the SEC, we shall in the future, but shall in no event later than after being identified as a Commission-Identified Issuer for two consecutive years, change our auditor to an independent registered public accounting firm located in the U.S. subject to the PCAOB’s inspection in order to maintain the listing of our Class A ordinary shares. We may incur additional costs in connection with such change and we cannot assure you that we can do so in a timely manner, if at all.</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implement measures to comply with the HFCAA and the uncertainty surrounding the possible new rule and regulations regarding the implementation of the HFCAA remains, such uncertainty could cause the market price of our Class A ordinary shares to be materially and adversely affected, and our securities could be delisted or prohibited from being traded “over-the-counter” in the United States if we are identified as a Commission-Identified Issuer for two consecutive years in the future. If our shares are prohibited from trading in the United States, there is no certainty that we will be able to list on a non-U.S. exchange or that a market for our shares will develop outside of the United States. If our securities are unable to be listed on another securities exchange by then, such a delisting would substantially impair your ability to sell or purchase our Class A ordinary shares when you wish to do so, and the risk and uncertainty associated with a potential delisting would have a negative impact on the price of our Class A ordinary shares. Also, such a prohibition would significantly affect our ability to raise capital on terms acceptable to us, or at all, which would have a material adverse impact on our business, financial condition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PCAOB had historically been unable to inspect or investigate auditors located in China completely. Any future inability of the PCAOB to conduct inspections of our auditor may deprive our investors with the benefits of such inspections.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auditor, the independent registered public accounting firm that issues the audit report included elsewhere in this annual report, as an auditor of companies that are traded publicly in the U.S. and a firm registered with the PCAOB, is subject to laws in the U.S. pursuant to which the PCAOB conducts regular inspections to assess its compliance with the applicable professional standards. Our auditor is located in China, a jurisdiction where the PCAOB was unable to conduct inspections and investigations completely without the approval of the Chinese authorities before 2022. The inability of the PCAOB to conduct inspections of auditors in China in the past has made it more difficult to evaluate the effectiveness of the audit procedures or quality control procedures of the independent registered public accounting firms in China as compared to auditors outside of China that are subject to the PCAOB inspections.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2022, the PCAOB removed mainland China and Hong Kong from the list of jurisdictions where it was unable to inspect or investigate registered public accounting firms completely. However, if the PCAOB determines in the future that it no longer has full access to inspect and investigate accounting firms in mainland China and Hong Kong completely, and we use an accounting firm headquartered in one of these jurisdictions to issue an audit report on our financial statements filed with the SEC, we and investors in our shares would be deprived of the benefits of such PCAOB inspections, which could cause investors and potential investors in the shares to lose confidence in our audit procedures and reported financial information and the quality of our financial statements.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This annual report may contain certain industry data and information that were obtained from third-party sources and were not independently verified by us.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may contain certain industry data and information from third-party sources. We have not independently verified all of such data and information contained in such third-party publications and reports. Data and information in such third-party publications and reports may use third-party methodologies, which may differ from the data collection methods used by us. In addition, these industry publications and reports generally indicate that the information is believed to be reliable, but do not guarantee the accuracy and completeness of such information.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Statistical data in these publications also include projections based on a number of assumptions. The ecommerce industry, particularly for large parcel merchandise, may not grow at the rates projected by market data, or at all. If any of the assumptions underlying the market data is later found to be incorrect, actual results may differ from the projections based on these assumptions. Material slowdown of the ecommerce industry against the projected rates may materially and adversely affect our business and the market price of our ordinary shares.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requirements of being a U.S. public company may strain our resources, result in more litigation and divert management’s attention.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U.S. public company, we are subject to various reporting requirements of the Exchange Act, the Sarbanes-Oxley Act of 2002, the Dodd-Frank Wall Street Reform and Consumer Protection Act, or the Dodd-Frank Act, the listing requirements of the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changing laws, regulations and standards relating to corporate governance and public disclosure are creating uncertainty for U.S.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 being a U.S. public company and a Cayman Islands company will have an impact on disclosure of information and require compliance with two sets of applicable rules. This could result in uncertainty regarding compliance matters and higher costs necessitated by legal analysis of dual legal regimes, ongoing revisions to disclosure and adherence to heightened governance practices.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invest resources to comply with evolving laws, regulations and standards, and this investment may result in increased general and administrative expenses and a diversion of management’s time and attention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disclosing information in this annual report and in future filings required of a U.S.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do not publish research or reports or publish unfavorable research or reports about our business, the price and trading volume of our Class A ordinary shares could decline.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ordinary shares will depend in part on the research and reports that securities or industry analysts publish about us, our business, our market or our competitors. If one or more of the analysts who covers us downgrades our Class A ordinary shares, the trading price of our Class A ordinary shares would likely decline. If one or more of these analysts ceases to cover us or fails to regularly publish reports on us, interest in our Class A ordinary shares could decrease, which could cause the price or trading volume of our Class A ordinary shares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Fluctuations in currency exchange rates may have a material adverse effect on our results of operations and the value of your investment.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value of the Renminbi against the U.S. dollar and other currencies may fluctuate and is affected by, among other things, changes in political and economic conditions. There is no guarantee that the Renminbi will not appreciate or depreciate significantly in value against the U.S. dollar in the future. It is difficult to predict how market forces, PRC and U.S. government’s policies and regulations may impact the exchange rate between the Renminbi and the U.S. dollar in the future.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revaluation of the Renminbi may have a material adverse effect on your investment. For example, to the extent that we need to convert U.S. dollars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for other business purposes, appreciation of the U.S. dollar against the Renminbi would have a negative effect on the U.S. dollar amount available to us. In addition, appreciation or depreciation in the value of the Renminbi relative to U.S. dollars would affect our financial results reported in U.S. dollar terms regardless of any underlying change in our business or results of operations.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Very limited hedging options are available in the PRC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results of operations of, and certain of our intercompany balances associated with, our international subsidiaries are exposed to foreign exchange rate fluctuations. Our entities incorporated in Japan, Germany, the United Kingdom and other jurisdictions generally use their respective local currencies as their functional currencies. Revenues, expenses, gains and losses are translated into U.S. dollars using the periodic average exchange rates. As we plan to expand our operations, our exposure to exchange rate fluctuations may be increased. When the U.S. dollar strengthens compared to these currencies, revenues, expenses, gains and losses when translated, may be materially less than expected and vice versa.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Your right to participate in any future rights offerings may be limited, which may cause dilution to your holdings, and you may not receive distributions with respect to the underlying ordinary shares if it is impractical to make them available to you.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distribute rights to our shareholders, including rights to acquire our securities. However, we cannot make rights available to you in the U.S. unless we register the rights and the securities to which the rights relate under the Securities Act or an exemption from the registration requirements is available.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classified as a passive foreign investment company, which could result in adverse U.S. federal income tax considerations to United States Holders of our ordinary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a non-U.S. corporation is a passive foreign investment company, or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gains, rents and royalties (other than certain rents and royalties derived in the active conduct of a trade or business). Cash is generally a passive asset for these purposes. Goodwill is generally characterized as an active asset to the extent it is associated with business activities that produce active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manner in which we currently operate our business, the current and expected composition of our income and assets and the expected value of our assets (including the value of our goodwill), we believe we were not a PFIC for our taxable year ended December 31, 2023, and we do not expect to be a PFIC for our current taxable year.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our Class A ordinary shares, which could be volatile), and we may be or become a PFIC if our market capitalization declines. Accordingly, there can be no assurance that we will not be a PFIC for our current or any future taxable year. If we were a PFIC for any taxable year during which a United States Holder (as defined in “Item 5. Market for Registrant’s Common Equity, Related Stockholder Matters and Issuer Purchases of Equity Securities—Taxation—Material U.S. Federal Income Tax Considerations”) held ordinary shares, the United States Holder generally would be subject to adverse U.S. federal income tax considerations, including increased tax liability on disposition gains and additional reporting requirements. See “Item 5. Market for Registrant’s Common Equity, Related Stockholder Matters and Issuer Purchases of Equity Securities—Taxation—Material U.S. Federal Income Tax Considerations—Passive Foreign Investment Company.”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a United States person is treated as owning at least 10% of our ordinary shares, such holder could be subject to adverse U.S. federal income tax considerations.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United States Holder is treated as owning, directly, indirectly or constructively, at least 10% of the value or voting power of our ordinary shares, such United States Holder may be treated as a “United States shareholder” with respect to each “controlled foreign corporation” in our group, if any. We believe we were a controlled foreign corporation in 2023 and may continue to be a controlled foreign corporation in the future. In addition,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our investors in determining whether any of our non-U.S. subsidiaries is treated as a controlled foreign corporation or whether any such investor is treated as a United States shareholder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such controlled foreign corporation. Further, we cannot provide any assurances that we will furnish to any United States Holder information that may be necessary to comply with the reporting and tax paying obligations described in this risk factor. United States Holders should consult their tax advisors regarding the potential application of these rules to their investment in our Class A ordinary shares.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You may face difficulties in protecting your interests, and your ability to protect your rights through U.S. courts may be limited, because we are incorporated under Cayman Islands law. </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exempted company incorporated under the laws of the Cayman Islands. Our corporate affairs are governed by our amended and restated memorandum and articles of association, the Companies Act (As Revised) of the Cayman Islands and the common law of the Cayman Islands. The rights of shareholders to take action against our directors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U.S. In particular, the Cayman Islands has a less developed body of securities laws than the U.S. Some U.S. states, such as Delaware, have more fully developed and judicially interpreted bodies of corporate law than the Cayman Islands. In addition, Cayman Islands companies may not have the standing to initiate a shareholder derivative action in a federal court of the U.S.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of these companies. Under Cayman Islands law, the names of our current directors can be obtained from a search conducted at the Registrar of Companies. Our directors have discretion under our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all of the above, our public shareholders may have more difficulties in protecting their interests in the face of actions taken by management or members of our board of directors than they would as public shareholders of a company incorporated in the U.S.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identified two material weaknesses in our internal control over financial reporting. If our remediation of the material weaknesses is not effective, or if we experience additional material weaknesses in the future or otherwise fail to maintain proper and effective internal control over financial reporting, our ability to produce accurate and timely consolidated financial statements could be impaired, investors may lose confidence in our financial reporting and the trading price of our Class A ordinary shares may decline.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404 of Sarbanes-Oxley Act of 2002, our management is required to report upon the effectiveness of our internal control over financial reporting beginning with the annual report for our fiscal year ending December 31, 2023.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 is unable to conclude that our internal control over financial reporting is effective, investors may lose confidence in our financial reporting and the trading price of our Class A ordinary shares may decline.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independent registered public accounting firm identified two material weaknesses in our internal control over financial reporting as of December 31, 2023. The material weaknesses identified relate to (i) our lack of sufficient financial reporting and accounting personnel with appropriate knowledge of U.S. GAAP and the SEC reporting requirements to formalize, design, implement and operate key controls over financial reporting process to address complex U.S. GAAP accounting issues and related disclosures in accordance with U.S. GAAP and financial reporting requirements set forth by the SEC, which could result in misstatements in relevant financial statement accounts and disclosures, and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and implementation of our internal control over the independent review of journal entries due to the absence of formalized accounting policies and procedures, as well as inappropriate segregation of duties specific to the preparation and review of journal entries, which could result in misstatements not being timely prevented or detected, with potentially impact on all financial statement accounts and disclosures. Our independent registered public accounting firm has not undertaken a comprehensive assessment of our internal control under the Sarbanes-Oxley Act of 2002 for purposes of identifying and reporting any weakness in our internal control over financial reporting. Had our independent registered public accounting firm performed an audit of our internal control over financial reporting, additional material weaknesses or control deficiencies may have been identified.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working to remediate the material weaknesses and are taking steps to strengthen our internal control over financial reporting through the development and implementation of processes and controls over the financial reporting process. See “Item 7. Management’s Discussion and Analysis of Financial Condition and Results of Operation——Internal Control Over Financial Reporting.” However, we cannot assure you that these measures will significantly improve or remediate the material weakness described above.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there will not be additional material weaknesses or any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reviews under Section 404 of the Sarbanes-Oxley Act of 2002, investors may lose confidence in the accuracy and completeness of our financial reports, the market price of our Class A ordinary shares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memorandum and articles of association contain anti-takeover provisions that could discourage a third party from acquiring us, which could limit our shareholders’ opportunity to sell their shares at a premium.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or otherwise. Preferred shares could be issued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ordinary shares may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memorandum and articles of association provide that the courts of the Cayman Islands and the U.S. District Court for the Southern District of New York (or, if the U.S. District Court for the Southern District of New York lacks subject matter jurisdiction over a particular dispute, the state courts in New York County, New York) will be the exclusive forums for substantially all disputes between us and our shareholders, which could limit our shareholders’ ability to obtain a favorable judicial forum for complaints against us or our directors, officers or employees.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memorandum and articles of association provide that, (i) unless we consent in writing to the selection of an alternative forum, the U.S. District Court for the Southern District of New York (or, if the U.S.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and (ii) the courts of the Cayman Islands shall be the sole and exclusive forum for: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any derivative action or proceeding brought on behalf of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any action asserting a claim of breach of a fiduciary duty owed by any of our directors, officers or other employees to our company or our shareholders;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any action asserting a claim under any provision of the Companies Act of the Cayman Islands or our memorandum and articles of association; or</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any action asserting a claim against our company which if brought in the U.S. would be a claim arising under the internal affairs doctrine (as such concept is recognized under the laws of the U.S.).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exclusive-forum provisions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security,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an adverse effect on our business and financial performance.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class action litigation could harm our business.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brought against a company following a decline in the market price of its securities. See "—Risks Related to Our Business and Industry—We are subject to legal and regulatory proceedings from time to time in the ordinary course of our business." Securities class action litigation could result in substantial costs and a diversion of management’s attention and resources, which could harm our business. For details about the Southern District of New York Litigation Matter, see “Items 3. Legal Proceedings.”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dual-class voting structure will limit your ability to influence corporate matters and could discourage others from pursuing any change of control transactions that holders of our Class A ordinary shares may view as beneficial. </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Our authorized and issued ordinary shares divide into Class A ordinary shares and Class B ordinary shares. Holders of Class A ordinary shares are entitled to one vote per share,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Holders of Class B ordinary shares will have the ability to control matters requiring shareholders’ approval, including any amendment of our memorandum and articles of association and approval over any change of control transactions. See the paragraph here below for more details. Any conversions of Class B ordinary shares into Class A ordinary shares may dilute the percentage ownership of the existing holders of Class A ordinary shares within their class of ordinary shares.</w:t>
      </w:r>
      <w:r>
        <w:rPr>
          <w:color w:val="000000"/>
        </w:rPr>
        <w:t xml:space="preser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Larry Lei Wu, our chairman of board of directors and chief executive officer, beneficially owns all of our Class B ordinary shares. As of December 31, 2023, these Class B ordinary shares constitutes approximately 22.9% of our total issued and outstanding share capital and 74.8% of the aggregate voting power of our total issued and outstanding share capital due to the disparate voting powers associated with our dual-class share structure. As a result of the dual-class share structure and the concentration of ownership, holders of Class B ordinary shares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Class A ordinary shares. In addition, Mr. Larry Lei Wu, together with certain of his affiliates, have undertaken to our company, among other things, that, for a period of five years after the closing of our initial public offering, without the prior written consent of our board of directors and at least a majority of the independent directors, he and his affiliates will not agree to, approve, support, vote (in favor of or against), or otherwise cause our company to agree to, enter into or consummate, a privatization transaction, as defined in the Founder Undertaking Agreement entered into among our founder, GigaCloud Technology Inc and other parties thereto dated July 6, 2022 , unless the consideration per Class A ordinary share payable to shareholders of the Class A ordinary shares in connection with such privatization transaction is at least equal to the price per Class A ordinary share initially offered to the public in our initial public offering (subject to appropriate adjustment in the event of any share dividend, share subdivision, consolidation or other similar recapitalization with respect to the Class A ordinary shares). This concentrated control will limit investors’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influence corporate matters and could discourage others from pursuing any potential merger, takeover or other change of control transactions that holders of Class A ordinary shares may view as beneficial.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dual-class voting structure may render our Class A ordinary shares ineligible for inclusion in certain stock market indices, and thus adversely affect the trading price and liquidity of our Class A ordinary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our Class A ordinary shares.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a “controlled company” within the meaning of the Nasdaq Stock Market Listing Rules and, as a result, may rely on exemptions from certain corporate governance requirements that provide protection to shareholders of other companies.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are a “controlled company” as defined under the Nasdaq Stock Market Listing Rules because Mr. Larry Lei Wu, our chairman of board of directors and chief executive officer, holds more than 50% of our total voting power for the election of directors through TALENT BOOM GROUP LIMITED and Ji Xiang Hu Tong Holdings Limited, the entities controlled by Mr. Wu. For so long as we remain a “controlled company” under that definition, we are permitted to elect to rely, and may rely, on certain exemptions from corporate governance rules, including an exemption from the rule that a majority of our board of directors must be independent directors or that we have to establish a nominating committee and a compensation committee composed entirely of independent directors. In the event that we elect to rely on one or more of these exemptions, you will not have the same protection afforded to shareholders of companies that are subject to these corporate governance requirements.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 the past and may in the future be subject to short selling strategies that may drive down the market price of our Class A ordinary shares.</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Short sellers have in the past and may attempt in the future to drive down the market price of our Class A ordinary shares.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may in the future be the subject of shareholder suits that we believe were prompted by allegations made by short sellers.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implemented a cybersecurity risk management program intended to protect the confidentiality, integrity, and availability of our critical systems and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Key elements of our cybersecurity risk management program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IT environment;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security team principally responsible for managing (i) our cybersecurity risk assessment processes, (ii) our security processes, and (iii) our response to cybersecurity incidents;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cybersecurity awareness training of our employees, including senior management.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Factors—Risks Related to Our Business and Industry—Our failure or the failure of third-party service providers on which we rely to protect our marketplace, networks and systems against cybersecurity incidents, or otherwise to protect our confidential information, could damage our reputation and substantially harm our business and operating results.” </w:t>
      </w:r>
    </w:p>
    <w:p>
      <w:pPr>
        <w:pStyle w:val="TextBody"/>
        <w:bidi w:val="0"/>
        <w:spacing w:before="0" w:after="0"/>
        <w:ind w:left="0" w:right="0" w:firstLine="1102"/>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considers cybersecurity risk as part of its risk oversight function and has delegated to the Audit Committee oversight of cybersecurity and other information technology risks. The Audit Committee oversees management’s implementation of our cybersecurity risk management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reports to the full board of directors regarding its activities, including those related to cybersecurity, to the extent material. The full board of directors may also receive briefings from our management team directly on our cybersecurity risk management program, such as presentations on such cybersecurity topics that impact public companies from our Chief Technology Officer and internal security staff.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including our Chief Technology Officer, Mr. Wan Xin, is responsible for assessing and managing our material risks from cybersecurity threats. Mr. Wan bears the critical responsibility of assessing, monitoring and managing our cybersecurity risks and digital assets. Possessing extensive experience in the field of information security, Mr. Wan's substantial professional knowledge and experience are indispensable to the formulation and implementation of our cybersecurity strategy. Under Mr. Wan's supervision, our management team has primary responsibility for our overall cybersecurity risk management program and supervises our internal cybersecurity personnel.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stays informed about and monitors efforts to prevent, detect, mitigate, and remediate cybersecurity risks and any particular incidents through briefings from internal security personnel to Mr. Wan or our management team; threat intelligence and other information obtained from governmental, public or private sources; and alerts and reports produced by security tools deployed in our IT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executive office and global headquarters is located in El Monte, California, United States, where we currently occupy approximately 572,240 square feet of office and warehouse space pursuant to a renewable lease with a seven years lease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corporate offices and warehouses globally. Our corporate office for our China headquarters in Suzhou, China, where we currently occupy approximately 122,228 square feet of office space pursuant to a lease with a five years lease term, which can be renewed prior to termination. As of December 31, 2023, we also lease 33 warehouses in the U.S., Japan, the U.K., Germany and Canada, totaling over eight million square feet.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facilities are sufficient to meet our current needs. We intend to add new facilities or expand our existing facilities as we add employees and expand our operations. We believe that additional space that is suitable for our needs will be available as needed to accommodate any such expansion of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claims that arise during the ordinary course of business. Regardless of the outcome, litigation can be costly and time-consuming, as it can divert management’s attention from important business matters and initiatives, negatively impacting our overall operations. In addition, we may also find ourselves at greater risk to outside party claims as we increase our operations in jurisdictions where the laws with respect to the potential liability of online retailers are uncertain, unfavorable or unclear.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Southern District of New York Litigation Matter, In Re GigaCloud Technology Inc Securities Litigation, No. 1:23-cv-10645-JMF (S.D.N.Y.)</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two GigaCloud shareholders separately brought putative securities class actions in the United States District Court for the Central District of California. On November 27, 2023, the United States District Court for the Central District of California granted the parties’ stipulations to transfer both cases to United States District Court for the Southern District of New York. On January 12, 2024, the Southern District of New York granted plaintiffs’ stipulation to consolidate the two lawsuits into one and appoint Sashi Rajan and Meir Spear as co-lead plaintiffs. On March 18, 2024, lead plaintiffs filed the amended consolidated complaint against us and certain of our current and former directors and officers—including Larry Lei Wu, Kwok Hei David Lau, Xin Wan, Frank Lin, Xing Huang, Iman Schrock, Zhiwu Chen, Binghe Guo, and Thomas Liu—alleging that defendants made false and misleading statements concerning our use of artificial intelligence and machine learning and asserting various claims under U.S. securities laws. We believe these claims are without merit and intend to seek their dismissal. Although the outcome of any complex litigation is inherently uncertain, based on information presently known to management, we do not believe that the matters are likely to have a material impact on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1102"/>
        <w:jc w:val="center"/>
        <w:rPr/>
      </w:pPr>
      <w:r>
        <w:rPr>
          <w:rFonts w:ascii="Times New Roman;sans-serif" w:hAnsi="Times New Roman;sans-serif"/>
          <w:b/>
          <w:color w:val="000000"/>
          <w:sz w:val="20"/>
        </w:rPr>
        <w:t>PART</w:t>
      </w:r>
      <w:r>
        <w:rPr>
          <w:color w:val="000000"/>
        </w:rPr>
        <w:t xml:space="preserve"> </w:t>
      </w:r>
      <w:r>
        <w:rPr>
          <w:rFonts w:ascii="Times New Roman;sans-serif" w:hAnsi="Times New Roman;sans-serif"/>
          <w:b/>
          <w:color w:val="000000"/>
          <w:sz w:val="20"/>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ordinary shares have been listed on the Nasdaq Global Market since August 18, 2022 and traded under the symbol “GCT.”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29, 2024, there were seven holders of record of shares of our Class A ordinary shares and two holders of record of shares of our Class B ordinary shares. The actual number of shareholders is greater than the number of record holders, and includes shareholders who are beneficial owners, whose shares are held in street name by brokers and other nominees. These number of holders of record also do not include shareholders whose shares may be held in trust by other entities.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dividends on our ordinary shares. We do not have any plan to declare or pay any cash dividends on our ordinary shares in the foreseeable future. We intend to retain most, if not all, of our available funds and future earnings to operate and expand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discretion as to whether to distribute dividends, subject to applicable laws. In addition, our shareholders may by ordinary resolution declare a dividend, but no dividend may exceed the amount recommended by our board of directors. Under Cayman Islands law, as a Cayman Islands company we may pay a dividend on its shares out of either our profit or the share premium account, provided that in no circumstances may we pay a dividend if this would result in the company being unable to pay its debts as they fall due in the ordinary course of business. Even if our board of directors decides to pay or recommend dividends, the form, frequency and amount will depend upon our future operations and earnings, capital requirements and surplus, general financial condition, contractual restrictions and other factors that our board of directors may deem relevant. Cash dividends on our Class A ordinary shares, if any, will be paid in U.S. dollars. All dividends and other distributions declared and payable on our ordinary shares may under the current laws and regulations of the Cayman Islands be paid to the registered holders of such ordinary shares, and where they are to be paid from the Cayman Islands are freely transferable out of the Cayman Islands and there are no restrictions under Cayman Islands law which would prevent our company from paying dividends to shareholders in U.S. dollars or any other currency. </w:t>
      </w:r>
    </w:p>
    <w:p>
      <w:pPr>
        <w:pStyle w:val="TextBody"/>
        <w:bidi w:val="0"/>
        <w:spacing w:lineRule="auto" w:line="288" w:before="120" w:after="283"/>
        <w:ind w:left="0" w:right="0" w:firstLine="1102"/>
        <w:jc w:val="left"/>
        <w:rPr/>
      </w:pPr>
      <w:r>
        <w:rPr>
          <w:rFonts w:ascii="Times New Roman;sans-serif" w:hAnsi="Times New Roman;sans-serif"/>
          <w:b w:val="false"/>
          <w:color w:val="000000"/>
          <w:sz w:val="20"/>
        </w:rPr>
        <w:t>GigaCloud Technology Inc is a holding company incorporated in the Cayman Islands and is not a direct Chinese or Hong Kong operating company. We rely principally on dividends distributed by our operating subsidiaries for our cash requirements, including distribution of dividends to our shareholders. Dividends distributed by our subsidiaries in certain of our markets in certain jurisdictions, such as in China, the U.K. and Japan, are subject to local taxes. If our subsidiaries incur debt on their own behalf in the future, the instruments governing their debt may restrict their ability to pay dividends to us.</w:t>
      </w:r>
      <w:r>
        <w:rPr>
          <w:color w:val="000000"/>
        </w:rPr>
        <w:t xml:space="preser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subsidiaries in certain of our markets may be restricted in their ability to pay dividends or distributions, or make other transfers to us as a result of the laws of their respective jurisdictions of organization, agreements of our subsidiaries or covenants under indebtedness that we or they have incurred or may incur. For example, PRC regulations may restrict the ability of our PRC Subsidiaries to pay dividends to us, if any, and only allow a PRC company to pay dividends out of its accumulated distributable after-tax profits as determined in accordance with its articles of association and the PRC accounting standards and regulations. Our subsidiaries in the U.K. are only able to make distributions out of profits available for distribution, which are their accumulated, realized profits, so far as not previously utilized by distribution or capitalization, less their accumulated, realized losses, so far as not previously written off in a reduction or reorganization of capital duly made. Our Japanese subsidiaries are permitted to distribute dividends only to the extent of the “distributable amount” stipulated in the Companies Act of Japan, or Japan Companies Act. "Item 7. Management’s Discussion and Analysis of Financial Condition and Results of Operations—Holding Company Structure."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our equity compensation plans is incorporated by reference in Item 12 of Part III of this annual report.</w:t>
      </w:r>
    </w:p>
    <w:p>
      <w:pPr>
        <w:pStyle w:val="TextBody"/>
        <w:bidi w:val="0"/>
        <w:spacing w:before="0" w:after="0"/>
        <w:ind w:left="0" w:right="0" w:firstLine="1102"/>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jc w:val="left"/>
        <w:rPr/>
      </w:pPr>
      <w:r>
        <w:rPr/>
      </w:r>
    </w:p>
    <w:p>
      <w:pPr>
        <w:pStyle w:val="TextBody"/>
        <w:bidi w:val="0"/>
        <w:spacing w:lineRule="auto" w:line="288" w:before="0" w:after="0"/>
        <w:ind w:left="0" w:right="0" w:firstLine="1102"/>
        <w:jc w:val="left"/>
        <w:rPr>
          <w:rFonts w:ascii="Times New Roman;sans-serif" w:hAnsi="Times New Roman;sans-serif"/>
          <w:b w:val="false"/>
          <w:i/>
          <w:color w:val="000000"/>
          <w:sz w:val="20"/>
        </w:rPr>
      </w:pPr>
      <w:r>
        <w:rPr>
          <w:rFonts w:ascii="Times New Roman;sans-serif" w:hAnsi="Times New Roman;sans-serif"/>
          <w:b w:val="false"/>
          <w:i/>
          <w:color w:val="000000"/>
          <w:sz w:val="20"/>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pStyle w:val="TextBody"/>
        <w:bidi w:val="0"/>
        <w:spacing w:before="0" w:after="0"/>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ordinary shares have been listed on the Nasdaq Global Market since August 18, 2022. The following graph compares the cumulative total shareholder return of our Class A ordinary shares with the cumulative total return of the NASDAQ Composite Index (U.S.) and the Dow Jones Internet Commerce Index for the period beginning at the “measurement point” established by the market close on August 18, 2022 through and including December 31, 2023, the end of our last completed fiscal year. The performance graph below assumes an investment of $100 at market close on August 18, 2022 in each of our Class A ordinary shares, NASDAQ Composite Index (U.S.) and the Dow Jones Internet Commerce Index.</w:t>
      </w:r>
    </w:p>
    <w:p>
      <w:pPr>
        <w:pStyle w:val="TextBody"/>
        <w:bidi w:val="0"/>
        <w:spacing w:before="0" w:after="0"/>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applicable SEC rules, all values assume reinvestment of the full amount of any dividends, although no dividends have been declared to date. The shareholder return shown on the graph below is not necessarily indicative of future performance, and we do not make or endorse any predictions as to future shareholder returns.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before="0" w:after="0"/>
        <w:jc w:val="left"/>
        <w:rPr/>
      </w:pPr>
      <w:r>
        <w:rPr/>
        <w:drawing>
          <wp:inline distT="0" distB="0" distL="0" distR="0">
            <wp:extent cx="5838825" cy="3619500"/>
            <wp:effectExtent l="0" t="0" r="0" b="0"/>
            <wp:docPr id="7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 descr=""/>
                    <pic:cNvPicPr>
                      <a:picLocks noChangeAspect="1" noChangeArrowheads="1"/>
                    </pic:cNvPicPr>
                  </pic:nvPicPr>
                  <pic:blipFill>
                    <a:blip r:embed="rId6"/>
                    <a:stretch>
                      <a:fillRect/>
                    </a:stretch>
                  </pic:blipFill>
                  <pic:spPr bwMode="auto">
                    <a:xfrm>
                      <a:off x="0" y="0"/>
                      <a:ext cx="5838825" cy="3619500"/>
                    </a:xfrm>
                    <a:prstGeom prst="rect">
                      <a:avLst/>
                    </a:prstGeom>
                  </pic:spPr>
                </pic:pic>
              </a:graphicData>
            </a:graphic>
          </wp:inline>
        </w:drawing>
      </w:r>
    </w:p>
    <w:tbl>
      <w:tblPr>
        <w:tblW w:w="10057" w:type="dxa"/>
        <w:jc w:val="left"/>
        <w:tblInd w:w="0" w:type="dxa"/>
        <w:tblLayout w:type="fixed"/>
        <w:tblCellMar>
          <w:top w:w="28" w:type="dxa"/>
          <w:left w:w="28" w:type="dxa"/>
          <w:bottom w:w="28" w:type="dxa"/>
          <w:right w:w="28" w:type="dxa"/>
        </w:tblCellMar>
      </w:tblPr>
      <w:tblGrid>
        <w:gridCol w:w="1118"/>
        <w:gridCol w:w="984"/>
        <w:gridCol w:w="987"/>
        <w:gridCol w:w="319"/>
        <w:gridCol w:w="319"/>
        <w:gridCol w:w="321"/>
        <w:gridCol w:w="319"/>
        <w:gridCol w:w="319"/>
        <w:gridCol w:w="321"/>
        <w:gridCol w:w="354"/>
        <w:gridCol w:w="354"/>
        <w:gridCol w:w="356"/>
        <w:gridCol w:w="319"/>
        <w:gridCol w:w="319"/>
        <w:gridCol w:w="321"/>
        <w:gridCol w:w="319"/>
        <w:gridCol w:w="319"/>
        <w:gridCol w:w="321"/>
        <w:gridCol w:w="319"/>
        <w:gridCol w:w="319"/>
        <w:gridCol w:w="321"/>
        <w:gridCol w:w="324"/>
        <w:gridCol w:w="324"/>
        <w:gridCol w:w="461"/>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8/18/2022</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9/30/2022</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12/31/2022</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3/31/2023</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6/30/2023</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9/30/2023</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12/31/2023</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GigaCloud Technology Inc</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64.44</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36.27</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40.15</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43.08</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56.15</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116.6</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 Index</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81.57</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80.73</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94.27</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106.34</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101.96</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115.78</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Dow Jones Internet Commerce Index</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84.77</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82.14</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101.41</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113.89</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109.45</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128.06</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Taxation</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the material Cayman Islands, PRC and U.S. federal income tax considerations of an investment in our Class A ordinary shares is based upon laws and relevant interpretations thereof in effect as of the date of this annual report, all of which are subject to change. This summary does not deal with all possible tax considerations relating to an investment in our Class A ordinary shares, such as the tax considerations under U.S. state and local tax laws and the other tax laws not addressed herein. To the extent that the discussion relates to matters of Cayman Islands tax law, it represents the opinion of Maples and Calder (Hong Kong) LLP, our counsel as to Cayman Islands law, and to the extent it relates to PRC tax law, it represents the opinion of Han Kun Law Offices, our counsel as to PRC law. </w:t>
      </w:r>
    </w:p>
    <w:p>
      <w:pPr>
        <w:pStyle w:val="TextBody"/>
        <w:bidi w:val="0"/>
        <w:spacing w:lineRule="auto" w:line="288" w:before="120" w:after="283"/>
        <w:jc w:val="left"/>
        <w:rPr/>
      </w:pPr>
      <w:r>
        <w:rPr>
          <w:rFonts w:ascii="Times New Roman;sans-serif" w:hAnsi="Times New Roman;sans-serif"/>
          <w:b/>
          <w:i/>
          <w:color w:val="000000"/>
          <w:sz w:val="20"/>
        </w:rPr>
        <w:t>Cayman Islands Taxation</w:t>
      </w:r>
      <w:r>
        <w:rPr>
          <w:color w:val="000000"/>
        </w:rPr>
        <w:t xml:space="preserv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us or holders of our ordinary shares levied by the government of the Cayman Islands except for stamp duties, which may be applicable to instruments executed in, or after execution brought within the jurisdiction of, the Cayman Islands.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Cayman Islands is not a party to any double tax treaties that are applicable to any payments made to or by our company.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exchange control regulations or currency restrictions in the Cayman Islands.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pPr>
      <w:r>
        <w:rPr>
          <w:rFonts w:ascii="Times New Roman;sans-serif" w:hAnsi="Times New Roman;sans-serif"/>
          <w:b/>
          <w:i/>
          <w:color w:val="000000"/>
          <w:sz w:val="20"/>
        </w:rPr>
        <w:t>PRC Taxation</w:t>
      </w:r>
      <w:r>
        <w:rPr>
          <w:color w:val="000000"/>
        </w:rPr>
        <w:t xml:space="preserve">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and Withholding Tax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2007, the NPC enacted the PRC Enterprise Income Tax Law, which became effective on January 1, 2008 (and was last amended in December 2018). The PRC Enterprise Income Tax Law provides that enterprises organized under the laws of jurisdictions outside China with their “de facto management bodies” located within China may be considered PRC resident enterprises and therefore subject to enterprise income tax at the rate of 25% on their worldwide income. The EIT Implementation Rules, which was promulgated by the PRC State Council in December 2007 and amended in April 2019, further define the term “de facto management body” as the management body that exercises substantial and overall management and control over the production and business operations, personnel, accounts and properties of an enterprise.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2009, the SAT issued the Notice Regarding the Determination of Chinese-Controlled Offshore-Incorporated Enterprises as PRC Tax Resident Enterprises on the Basis of De Facto Management Bodies, known as Circular 82, as most recently amended on December 29, 2017, which provides certain specific criteria for determining whether the “de facto management body” of a PRC-controlled enterprise that is incorporated offshore is deemed to be located in China. Although Circular 82 only applies to offshore enterprises controlled by PRC enterprises or PRC enterprise groups, not offshore enterprises controlled by PRC individuals or foreigners, the criteria set forth in the circular may reflect the SAT’s general position on how the “de facto management body” test should be applied in determining the tax resident status of all offshore enterprises.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Circular 82, an offshore-incorporated enterprise controlled by a PRC enterprise or a PRC enterprise group will be regarded as a PRC tax resident by virtue of having its “de facto management body” in China and will be subject to enterprise income tax on its global income only if all of the following conditions are satisfied: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primary location of the day-to-day operational management and the places where they perform their duties are in the PRC;</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decisions relating to the enterprise’s financial and human resources matters are made or are subject to the approval of organizations or personnel in the PRC;</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enterprise’s primary assets, accounting books and records, company seals and board and shareholders’ resolutions are located or maintained in the PRC; and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50% or more of voting board members or senior executives habitually reside in the PRC.</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Administrative Measures for Enterprise Income Tax of Chinese-Controlled Offshore-Incorporated Resident Enterprises (Trial Version), or Bulletin 45, further clarifies certain issues related to the determination of tax resident status. Bulletin 45 also specifies that when provided with a resident Chinese-controlled, offshore-incorporated enterprise’s copy of its recognition of residential status, a payer does not need to withhold a 10% income tax when paying certain PRC-source income, such as dividends, interest and royalties to such Chinese-controlled offshore-incorporated enterprise.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GigaCloud Technology Inc and our overseas subsidiaries outside of mainland China are not PRC resident enterprises for PRC tax purposes. GigaCloud Technology Inc and our overseas subsidiaries other than the PRC Subsidiaries are incorporated outside of mainland China. As for GigaCloud Technology Inc, which is a holding company, its key assets are its ownership interests in its subsidiaries, and its key assets are located, and its records (including the resolutions of its board of directors and the resolutions of its shareholders) are maintained, outside of mainland China. As for our overseas subsidiaries outside of mainland China, their key assets, records and primary locations are outside of mainland China. Thus, we do not believe that they meet all of the conditions above.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PRC tax authorities determine that GigaCloud Technology Inc is a “resident enterprise” for enterprise income tax purposes, a number of unfavorable PRC tax considerations could follow. One example is that a 10% withholding tax would be imposed on dividends we pay to our non-PRC enterprise shareholders and with respect to gains derived by our non-PRC enterprise shareholders from transferring our shares. Furthermore, dividends payable to individual investors who are non-PRC residents and any gain realized on the transfer of ordinary shares by such investors may be subject to PRC tax at a current rate of 20%. Any PRC tax liability may be subject to reduction or exemption set forth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tax treaties or under applicable tax arrangements between jurisdictions. It is unclear whether, if we are considered a PRC resident enterprise, holders of our shares would be able to claim the benefit of income tax treaties or agreements entered into between China and other countries or areas.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 Bulletin on Issues of Enterprise Income Tax on Indirect Transfers of Assets by Non-Tax Resident Enterprises, or SAT Bulletin 7, which was promulgated by the SAT and became effective on February 3, 2015 and last amended on December 29, 2017, if a non-resident enterprise transfers the equity interests of a PRC resident enterprise indirectly by transfer of the equity interests of an offshore holding company (other than a purchase and sale of shares issued by a PRC resident enterprise in the public securities market) without a reasonable commercial purpose, PRC tax authorities have the power to reassess the nature of the transaction and the indirect equity transfer may be treated as a direct transfer. As a result, the gain derived from such transfer, which means the equity transfer price less the cost of equity, will be subject to a PRC withholding tax at a rate of up to 10%.</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SAT Bulletin 7, a transfer which meets all of the following circumstances shall be directly deemed as having no reasonable commercial purpose if:</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over 75% of the value of the equity interests of the offshore holding company are directly or indirectly derived from PRC taxable properties;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at any time during the year before the indirect transfer, over 90% of the total properties of the offshore holding company are investments within PRC territories, or in the year before the indirect transfer, over 90% of the offshore holding company’s revenue is directly or indirectly derived from PRC territories;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function performed and risks assumed by the offshore holding company are insufficient to substantiate its corporate existence; or</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the foreign income tax imposed on the indirect transfer is lower than the PRC tax imposed on the direct transfer of the PRC taxable properties.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17, 2017, the SAT issued the SAT Circular 37, which took effect on December 1, 2017 and was most recently amended on June 15, 2018. SAT Circular 37 purports to provide further clarifications by setting forth the definitions of equity transfer income and tax basis, the foreign exchange rate to be used in the calculation of the withholding amount and the date on which the withholding obligation arises.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SAT Circular 37 provides that where the transfer income subject to withholding at source is derived by a non-PRC resident enterprise in installments, the installments may first be treated as recovery of costs of previous investments. Upon recovery of all costs, the tax amount to be withheld must then be computed and withheld.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uncertainty as to the application of SAT Bulletin 7 and SAT Circular 37. SAT Bulletin 7 and SAT Circular 37 may be determined by the PRC tax authorities to be applicable to transfers of our shares that involve non-resident investors, if any of such transactions were determined by the tax authorities to lack a reasonable commercial purpose.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we and our non-resident investors in such transactions may become at risk of being taxed under SAT Bulletin 7 and SAT Circular 37, and we may be required to comply with SAT Bulletin 7 and SAT Circular 37 or to establish that we should not be taxed under the general anti-avoidance rule of the PRC Enterprise Income Tax Law. This process may be costly and have a material adverse effect on our financial condition and results of operations.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Value-added Tax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Circular on Comprehensively Promoting the Pilot Program of the Collection of Value-added Tax to Replace Business Tax, or Circular 36, which was promulgated by the Ministry of Finance and the SAT on March 23, 2016 and became effective on May 1, 2016, as last amended on March 20, 2019, entities and individuals engaging in the sale of services, intangible assets or fixed assets within the territory of the PRC are required to pay value-added tax instead of business tax.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Circular 36, our PRC Subsidiaries are subject to value-added tax at a rate of 6% on proceeds received from customers and are entitled to a refund for value-added tax already paid or borne on the goods purchased by it and utilized in the provision of services that have generated the gross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 Announcement of SAT on Promulgation of the Administrative Measures on Tax Exemption for Cross-border Taxable Activities for Levying Value-Added Tax in Lieu of Business Tax (Trial Implementation), which was promulgated by the SAT on May 6, 2016 and became effective on May 1, 2016, as amended on June 15, 2018 by the Announcement of the SAT on the Revision to Certain Taxation Regulatory Documents, which was promulgated by the SAT on June 15, 2018, certain cross-border taxable activities, such as offshore service outsourcing business provided to overseas entities and are entirely consumed overseas, shall be exempted from value-added tax.</w:t>
      </w:r>
    </w:p>
    <w:p>
      <w:pPr>
        <w:pStyle w:val="TextBody"/>
        <w:bidi w:val="0"/>
        <w:spacing w:lineRule="auto" w:line="288" w:before="360" w:after="283"/>
        <w:jc w:val="left"/>
        <w:rPr/>
      </w:pPr>
      <w:r>
        <w:rPr>
          <w:rFonts w:ascii="Times New Roman;sans-serif" w:hAnsi="Times New Roman;sans-serif"/>
          <w:b/>
          <w:i/>
          <w:color w:val="000000"/>
          <w:sz w:val="20"/>
        </w:rPr>
        <w:t>Material U.S. Federal Income Tax Considerations</w:t>
      </w:r>
      <w:r>
        <w:rPr>
          <w:color w:val="000000"/>
        </w:rPr>
        <w:t xml:space="preserv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describes the material United States federal income tax considerations of the purchase, ownership and disposition of our Class A ordinary shares as of the date hereof. The effects of any applicable state or local laws and other U.S. federal tax laws, such as estate and gift tax laws, and the impact of the Medicare contribution tax on net investment income and the alternative minimum tax, are not discussed. This summary is only applicable to Class A ordinary shares held as capital assets (generally, property held for investment) within the meaning of Section 1221 of the Internal Revenue Code of 1986, as amended, or the Code, by a United States Holder (as defined below).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below is based upon the provisions of the Code, and regulations, rulings and judicial decisions thereunder as of the date hereof, and such authorities may be changed, perhaps retroactively, so as to result in United States federal income tax considerations different from those discussed below.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summary does not represent a detailed description of the United States federal income tax considerations applicable to you if you are subject to special treatment under the United States federal income tax laws, including if you are: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a dealer in securities or currencies; </w:t>
      </w:r>
    </w:p>
    <w:p>
      <w:pPr>
        <w:pStyle w:val="TextBody"/>
        <w:bidi w:val="0"/>
        <w:spacing w:lineRule="auto" w:line="288" w:before="120" w:after="283"/>
        <w:ind w:left="0" w:right="0" w:hanging="576"/>
        <w:jc w:val="left"/>
        <w:rPr/>
      </w:pPr>
      <w:r>
        <w:rPr>
          <w:color w:val="000000"/>
        </w:rPr>
        <w:t xml:space="preserve">• </w:t>
      </w:r>
      <w:r>
        <w:rPr>
          <w:rFonts w:ascii="Times New Roman;sans-serif" w:hAnsi="Times New Roman;sans-serif"/>
          <w:b w:val="false"/>
          <w:color w:val="000000"/>
          <w:sz w:val="20"/>
        </w:rPr>
        <w:t xml:space="preserve">a financial institution;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a regulated investment company; </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real estate investment trust;</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 insurance company;</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tax-exempt organization;</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person holding our Class A ordinary shares as part of a hedging, integrated or conversion transaction, a constructive sale or a straddle;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trader in securities that has elected the mark-to-market method of accounting for your securities;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person subject to special tax accounting rules as a result of any item of gross income with respect to Class A ordinary shares being taken into account in an “applicable financial statement” (as defined in the Code);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United States expatriate;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person who owns or is deemed to own 10% or more of our stock by vote or value; or</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a person whose “functional currency” is not the United States dollar.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used herein, the term “United States Holder” means a beneficial owner of our Class A ordinary shares that is for United States federal income tax purposes: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 individual who is a citizen or resident of the United States;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 corporation (or other entity treated as a corporation for United States federal income tax purposes) created or organized in or under the laws of the United States, any state thereof or the District of Columbia;</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an estate the income of which is subject to United States federal income taxation regardless of its source; or</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entity or arrangement treated as a partnership for United States federal income tax purposes holds our Class A ordinary shares, the tax treatment of a partner will generally depend upon the status of the partner and the activities of the partnership. If you are a partner of a partnership holding our Class A ordinary shares, you should consult your tax advisors. </w:t>
      </w:r>
    </w:p>
    <w:p>
      <w:pPr>
        <w:pStyle w:val="TextBody"/>
        <w:bidi w:val="0"/>
        <w:spacing w:lineRule="auto" w:line="288" w:before="240" w:after="283"/>
        <w:ind w:left="0" w:right="0" w:firstLine="1102"/>
        <w:jc w:val="left"/>
        <w:rPr>
          <w:rFonts w:ascii="Times New Roman;sans-serif" w:hAnsi="Times New Roman;sans-serif"/>
          <w:b/>
          <w:color w:val="000000"/>
          <w:sz w:val="20"/>
        </w:rPr>
      </w:pPr>
      <w:r>
        <w:rPr>
          <w:rFonts w:ascii="Times New Roman;sans-serif" w:hAnsi="Times New Roman;sans-serif"/>
          <w:b/>
          <w:color w:val="000000"/>
          <w:sz w:val="20"/>
        </w:rPr>
        <w:t xml:space="preserve">This summary does not contain a detailed description of all the United States federal income tax considerations to you in light of your particular circumstances. If you are considering the purchase, ownership or disposition of our Class A ordinary shares, you should consult your tax advisors concerning the United States federal income tax considerations to you in light of your particular situation as well as any considerations arising under the laws of any other taxing jurisdiction.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Taxation of Dividends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discussion under “—Passive Foreign Investment Company” below, the gross amount of any distributions on our Class A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ordinary income on the day actually or constructively received by you. Such dividends will not be eligible for the dividends received deduction allowed to corporations under the Code.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 amount of any distribution exceeds our current and accumulated earnings and profits, as determined under United States federal income tax principles, the distribution ordinarily would be treated, first, as a tax-free return of capital, causing a reduction in the adjusted basis of our Class A ordinary shares (thereby increasing the amount of gain, or decreasing the amount of loss, to be recognized by you on a subsequent disposition of our Class A ordinary shares), and, second, the balance in excess of adjusted basis generally would be taxed as capital gain recognized on a sale or exchange, as described under “—Taxation of Capital Gains” below. However, we do not expect to determine our earnings and profits in accordance with United States federal income tax principles. Therefore, you should expect that distributions will generally be reported to the Internal Revenue Service, or IRS, and taxed to you as dividends (as discussed above), even if they might ordinarily be treated as a tax-free return of capital or as capital gain.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non-corporate United States Holders (including individuals), dividends received from a qualified foreign corporation may be subject to reduced rates of taxation, unless we are a PFIC in the taxable year in which such dividends are paid or in the preceding taxable year. A foreign corporation is treated as a qualified foreign corporation with respect to dividends received from that corporation on shares that are readily tradable on an established securities market in the United States. Our Class A ordinary shares are listed on the Nasdaq. United States Treasury Department guidance indicates that shares are readily tradable on an established securities market in the United States if they are listed on the Nasdaq. There can be no assurance that our Class A ordinary shares will continue to be readily tradable on an established securities market in the United States in later years.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qualified foreign corporation also includes a foreign corporation that is eligible for the benefits of certain income tax treaties with the United States. In the event that we are deemed to be a PRC resident enterprise under the PRC tax law, we may be eligible for the benefits of the income tax treaty between the United States and the PRC, or the Treaty, provided that we meet the other requirements for Treaty eligibility. In that case, dividends we pay on our Class A ordinary shares may be eligible for the reduced rates of taxation whether or not the shares are readily tradable on an established securities market in the United States. Each non-corporate United States Holder is advised to consult its tax advisors regarding the availability of the reduced tax rate applicable to qualified dividend income for any dividends we pay with respect to our Class A ordinary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we are deemed to be a PRC resident enterprise under the PRC tax law, you may be subject to PRC withholding taxes on dividends paid to you with respect to our Class A ordinary shares. See “—PRC Taxation.” In that case, subject to certain conditions and limitations (including a minimum holding period requirement), PRC withholding taxes on dividends may be treated as foreign taxes eligible for credit against your United States federal income tax liability. However, Treasury regulations that apply to taxes paid or accrued in taxable years beginning on or after December 28, 2021 further restrict the availability of any such foreign tax credit based on the nature of the tax imposed by a non-US jurisdiction, although the IRS has provided temporary relief from the application of certain aspects of these regulations until new guidance or regulations are issued. For purposes of calculating the foreign tax credit, dividends paid on our Class A ordinary shares will be treated as foreign source income and will generally constitute passive category income. If you do not elect to claim a foreign tax credit for foreign tax withheld, you may instead claim a deduction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federal income tax purposes, for the foreign tax withheld, but only for a year in which you elect to do so for all creditable foreign income taxes. The rules governing the foreign tax credit are complex. You are urged to consult your tax advisor regarding the availability of the foreign tax credit under your particular circumstances.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Passive Foreign Investment Company</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general, we will be a PFIC for any taxable year in which:</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at least 75% of our gross income is passive income, or</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at least 50% of the value (based on a quarterly average) of our assets is attributable to assets that produce or are held for the production of passive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If we own at least 25% (by value) of the stock of another corporation, we will be treated, for purposes of determining whether we are a PFIC, as owning our proportionate share of the other corporation’s assets and receiving our proportionate share of the other corporation’s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manner in which we currently operate our business, the current and expected composition of our income and assets and the expected value of our assets (including the value of our goodwill), we believe we were not a PFIC for our taxable year ended December 31, 2023, and we do not expect to be a PFIC for our current taxable year.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our Class A ordinary shares, which could be volatile), and we may be or become a PFIC if our market capitalization declines. Accordingly, there can be no assurance that we will not be a PFIC for our current or any future taxable year.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If we are a PFIC for any taxable year during which you hold our Class A ordinary shares and you do not make a timely mark-to-market election, as described below, you will be subject to special tax rules with respect to any “excess distribution” received and any gain realized from a sale or other disposition, including a pledge, of our Class A ordinary shares. Distributions received in a taxable year that are greater than 125% of the average annual distributions received during the shorter of the three preceding taxable years or your holding period for our Class A ordinary shares will be treated as excess distributions. Under these special tax rules: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excess distribution or gain will be allocated ratably over your holding period for our Class A ordinary shares,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the amount allocated to the current taxable year, and any taxable year in your holding period prior to the first taxable year in which we were a PFIC, will be treated as ordinary income, and</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the amount allocated to each other year will be subject to tax at the highest income tax rate in effect for that year and the interest charge generally applicable to underpayments of tax will be imposed on the resulting tax attributable to each such year.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determination of whether we are a PFIC is made annually, if we are a PFIC for any taxable year in which you hold our Class A ordinary shares, you will generally be subject to the special tax rules described above for that year and for each subsequent year in which you hold our Class A ordinary shares (even if we do not qualify as a PFIC in any subsequent years). However, if we cease to be a PFIC, you can avoid the continuing impact of the PFIC rules by making a special election to recognize gain as if your Class A ordinary shares had been sold on the last day of the last taxable year during which we were a PFIC. You are urged to consult your tax advisor about this election.</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circumstances, in lieu of being subject to the special tax rules discussed above, you may make a mark-to-market election with respect to your Class A ordinary shares, provided that such Class A ordinary shares are treated as “marketable stock.” Our Class A ordinary shares generally will be treated as marketable stock if our Class A ordinary shares are “regularly traded” on a “qualified exchange or other market” (within the meaning of the applicable Treasury regulations). Under current law, the mark-to-market election may be available to shareholders if our Class A ordinary shares are quoted on the Nasdaq, which constitutes a qualified exchange, although there can be no assurance that our Class A ordinary shares will be “regularly traded” for purposes of the mark-to-market election. If you make an effective mark-to-market election, for each taxable year that we are a PFIC, you will include as ordinary income the excess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the fair market value of your Class A ordinary shares at the end of the year over your adjusted basis in the Class A ordinary shares. You will be entitled to deduct as an ordinary loss in each such year the excess of your adjusted basis in the Class A ordinary shares over their fair market value at the end of the year, but only to the extent of the net amount previously included in income as a result of the mark-to-market election. If you make an effective mark-to-market election, any gain you recognize upon the sale or other disposition of your Class A ordinary shares in a year that we are a PFIC will be treated as ordinary income and any loss will be treated as ordinary loss, but only to the extent of the net amount previously included in income as a result of the mark-to-market election. Your adjusted basis in the Class A ordinary shares will be increased by the amount of any income inclusion and decreased by the amount of any deductions, in each case, to the extent provided for under the mark-to-market rules. If you make a mark-to-market election it will be effective for the taxable year for which the election is made and all subsequent taxable years unless the Class A ordinary shares are no longer regularly traded on a qualified exchange or other market, or the IRS consents to the revocation of the election. You are urged to consult your tax advisor about the availability of the mark-to-market election, and whether making the election would be advisable in your particular circumstances.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different election, known as the “qualified electing fund” or “QEF” election, is generally available to holders of PFIC stock, but requires that the corporation provide the holders with a “PFIC Annual Information Statement” containing certain information necessary for the election, including the holder’s pro rata share of the corporation’s earnings and profits and net capital gains for each taxable year, computed according to United States federal income tax principles. We do not intend, however, to determine our earnings and profits or net capital gain under United States federal income tax principles, nor do we intend to provide United States Holders with a PFIC Annual Information Statement. Therefore, you should not expect to be eligible to make this election.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a PFIC for any taxable year during which you hold our Class A ordinary shares and any of our non-United States subsidiaries is also a PFIC, you will be treated as owning a proportionate amount (by value) of the shares of the lower-tier PFIC for purposes of the application of these rules. Because a mark-to-market election cannot be made for any lower-tier PFICs that a PFIC may own, if you make a mark-to-market election with respect to our Class A ordinary shares, you may continue to be subject to the general PFIC rules with respect to your indirect interest in any of our non-United States subsidiaries that is classified as a PFIC. You are urged to consult your tax advisors about the application of the PFIC rules to any of our subsidiaries. You will generally be required to file IRS Form 8621 if you hold our Class A ordinary shares in any year in which we are classified as a PFIC. You are urged to consult your tax advisors concerning the United States federal income tax considerations of holding our Class A ordinary shares if we are considered a PFIC in any taxable year and the availability, manner and advisability of making any elections.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Taxation of Capital Gains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For United States federal income tax purposes, you will recognize taxable gain or loss on any sale or exchange of our Class A ordinary shares in an amount equal to the difference between the amount realized for our Class A ordinary shares and your adjusted basis in our Class A ordinary shares. Subject to the discussion under “—Passive Foreign Investment Company” above, such gain or loss will generally be capital gain or loss and will generally be long-term capital gain or loss if you have held our Class A ordinary shares for more than one year. Long-term capital gains of non-corporate United States Holders (including individuals) are eligible for reduced rates of taxation. The deductibility of capital losses is subject to limitations. Any gain or loss recognized by you will generally be treated as United States source gain or loss for foreign tax credit limitation purposes. However, if we are treated as a PRC resident enterprise for PRC tax purposes and PRC tax is imposed on any gain, and if you are eligible for the benefits of the Treaty, you may elect to treat such gain as foreign source gain under the Treaty. If you are not eligible for the benefits of the Treaty or you fail to make the election to treat any gain as foreign source, you may not be able to use the foreign tax credit arising from any PRC tax imposed on the disposition of our Class A ordinary shares unless such credit can be applied (subject to applicable limitations) against United States federal income tax due on other income derived from foreign sources in the same income category (generally, the passive category). You are urged to consult your tax advisors regarding the tax considerations if any PRC tax is imposed on gain on a disposition of our Class A ordinary shares, including the availability of the foreign tax credit and the election to treat any gain as foreign source, under your particular circumstances.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Information Reporting and Backup Withholding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information reporting will apply to dividends in respect of our Class A ordinary shares and the proceeds from the sale, exchange or other disposition of our Class A ordinary shares that are paid to you within the United States (and in certain cases, outside the United States), unless you are an exempt recipient such as a corporation. A backup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withholding tax may apply to such payments if you fail to provide a taxpayer identification number or certification of exempt status or fail to report in full dividend and interest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Backup withholding is not an additional tax and any amounts withheld under the backup withholding rules will be allowed as a refund or a credit against your United States federal income tax liability, provided that the required information is furnished to the IRS in a timely manner.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Certain United States Holders that hold certain foreign financial assets (which may include our Class A ordinary shares) may be required to report information relating to such assets, subject to exceptions (including an exception for Class A ordinary shares held in accounts maintained by certain financial institutions). You are urged to consult your tax advisors regarding the effect, if any, of this reporting requirement on your ownership and disposition of our Class A ordinary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1102"/>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Proceeds from Registered Securities</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The following “Use of Proceeds” information relates to (i) the registration statement on Form F-1 (File No. 333-266058), as amended, including the prospectus contained therein, which registered 2,817,500 Class A ordinary shares and was declared effective by the SEC on August 17, 2022, and (ii) the post-effective registration statement on Form F-1 (File No. 333-266943), which registered 563,500 Class A ordinary shares and became effective immediately upon filing on August 17, 2022, for our initial public offering of 3,381,000 Class A ordinary shares, including the underwriters’ full exercise of their option to purchase from us the additional Class A ordinary shares (the “greenshoe option”), at an initial offering price of $12.25 per Class A ordinary shares. Our initial public offering and offering for the greenshoe option (the “greenshoe offering”) were closed concurrently in August 2022. Aegis Capital Corp. was the sole book-running manager and underwriter of our initial public offering.</w:t>
      </w:r>
      <w:r>
        <w:rPr>
          <w:color w:val="000000"/>
        </w:rPr>
        <w:t xml:space="preserve">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We received aggregate net proceeds of approximately $34.2 million from our initial public offering and the greenshoe offering. For the period from August 17, 2022, the effective date of the two registration statements on Form F-1 related to our initial public offering, to December 31, 2023, the ending date of the reporting period covered by this annual report, all of the net proceeds received from our initial public offering and the greenshoe offering, combined with our existing cash, were used for the acquisition of Noble House, working capital, operating expenses, capital expenditures and other general corporate purposes. There has been no material change in the planned use of proceeds from our initial public offering and the greenshoe offering as described in the Form F-1. None of the net proceeds from our initial public offering and the greenshoe offering were paid, directly or indirectly, to any of our directors or officers or their associates, persons owning 10% or more of our equity securities or our affiliates or others.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before="0" w:after="0"/>
        <w:jc w:val="left"/>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2023, we announced that our board of directors approved a share repurchase program under which we may purchase up to $25.0 million of our Class A ordinary shares, par value $0.05, over a 12-month period through various means, including open market transactions, privately negotiated transactions, block trades, any combination thereof or other legally permissible means.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evaluated the trading prices of its ordinary shares, its financial position and other information and considered the share repurchase by us would be in the best interests of our company and our shareholders.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effect repurchase transactions in compliance with Rule 10b5-1 and Rule 10b-18 of the Exchange Act. The number of shares repurchased and the timing of repurchases will depend on a number of factors, including, but not limited to, price, trading volume and general market conditions, along with our working capital requirements, general business conditions and other factors. Our board of directors will review the share repurchase program periodically, and may modify, suspend or terminate the share repurchase program at any time. We plan to fund repurchases from our existing cash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From the launch of the share repurchase program on June 14, 2023 to December 31, 2023, we repurchased an aggregate of approximately 215,000 Class A ordinary shares in the open market at a total consideration of approximately $1.6 million pursuant to the share repurchase program.</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During our fourth fiscal quarter of 2023 covered in this annual report, we did not repurchase any of its Class A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108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information should be read in conjunction with the consolidated financial statements and related notes thereto included in this annual report on Form 10-K.</w:t>
      </w:r>
    </w:p>
    <w:p>
      <w:pPr>
        <w:pStyle w:val="TextBody"/>
        <w:bidi w:val="0"/>
        <w:spacing w:before="120" w:after="283"/>
        <w:ind w:left="0" w:right="0" w:firstLine="1080"/>
        <w:jc w:val="left"/>
        <w:rPr/>
      </w:pPr>
      <w:r>
        <w:rPr/>
      </w:r>
    </w:p>
    <w:p>
      <w:pPr>
        <w:pStyle w:val="TextBody"/>
        <w:bidi w:val="0"/>
        <w:spacing w:lineRule="auto" w:line="288" w:before="0" w:after="0"/>
        <w:ind w:left="0" w:right="0" w:firstLine="108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to historical information, this report contains forward-looking statements that involve risks and uncertainties which may cause our actual results to differ materially from plans and results discussed in forward-looking statements. We encourage you to review the risks and uncertainties discussed in the sections entitled Item 1A. “Risk Factors” and “Forward-Looking Statements” included at the beginning of this annual report . The risks and uncertainties can cause actual results to differ significantly from those forecast in forward-looking statements or implied in historical results and trends.</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imes New Roman;sans-serif" w:hAnsi="Times New Roman;sans-serif"/>
          <w:b w:val="false"/>
          <w:i/>
          <w:color w:val="000000"/>
          <w:sz w:val="20"/>
        </w:rPr>
      </w:pPr>
      <w:r>
        <w:rPr>
          <w:rFonts w:ascii="Times New Roman;sans-serif" w:hAnsi="Times New Roman;sans-serif"/>
          <w:b w:val="false"/>
          <w:i/>
          <w:color w:val="000000"/>
          <w:sz w:val="20"/>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pioneer of global end-to-end B2B ecommerce solutions for large parcel merchandise. We generate revenues primarily through three revenue streams: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GigaCloud 3P</w:t>
      </w:r>
      <w:r>
        <w:rPr>
          <w:rFonts w:ascii="Times New Roman;sans-serif" w:hAnsi="Times New Roman;sans-serif"/>
          <w:b w:val="false"/>
          <w:color w:val="000000"/>
          <w:sz w:val="20"/>
        </w:rPr>
        <w:t xml:space="preserve">: generates service revenues, including revenues from platform commission, ocean transportation service, warehousing service, last-mile delivery service, packaging service and others, by facilitating transactions between sellers and buyers in our GigaCloud Marketplace.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GigaCloud 1P</w:t>
      </w:r>
      <w:r>
        <w:rPr>
          <w:rFonts w:ascii="Times New Roman;sans-serif" w:hAnsi="Times New Roman;sans-serif"/>
          <w:b w:val="false"/>
          <w:color w:val="000000"/>
          <w:sz w:val="20"/>
        </w:rPr>
        <w:t xml:space="preserve">: generates product revenues through the sale of our inventory in our GigaCloud Marketplace.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Off-platform ecommerce</w:t>
      </w:r>
      <w:r>
        <w:rPr>
          <w:rFonts w:ascii="Times New Roman;sans-serif" w:hAnsi="Times New Roman;sans-serif"/>
          <w:b w:val="false"/>
          <w:color w:val="000000"/>
          <w:sz w:val="20"/>
        </w:rPr>
        <w:t xml:space="preserve">: generates product revenues through the sale of our inventory to and through third-party ecommerce websites.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GMV from GigaCloud 3P and GigaCloud 1P together make up our GigaCloud Marketplace GMV, and GMV from off-platform ecommerce and GigaCloud Marketplace GMV together make up our total GMV across the platforms. These three revenue streams complement each other to improve our value proposition to sellers and buyers in our GigaCloud Marketplace. Noble House primarily contributes product revenues to our off-platform ecommerce revenue streams, while Wondersign primarily contributes service revenues from its catalog subscription services, and other product revenues from the sales of its Catalog Kiosk display units.</w:t>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impact from the acquisitions of Noble House and Wondersign was reflected in our financial results in the fourth quarter and full year of 2023. The operating impact from these acquisitions has not been reflected in the operating metrics in our GigaCloud Marketplace in this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graphic shows the revenues and GMV contribution from these revenue streams in 2021, 2022 and 2023: </w:t>
      </w:r>
    </w:p>
    <w:p>
      <w:pPr>
        <w:pStyle w:val="TextBody"/>
        <w:bidi w:val="0"/>
        <w:spacing w:before="240" w:after="283"/>
        <w:jc w:val="left"/>
        <w:rPr/>
      </w:pPr>
      <w:r>
        <w:rPr/>
        <w:drawing>
          <wp:inline distT="0" distB="0" distL="0" distR="0">
            <wp:extent cx="4286250" cy="1295400"/>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7"/>
                    <a:stretch>
                      <a:fillRect/>
                    </a:stretch>
                  </pic:blipFill>
                  <pic:spPr bwMode="auto">
                    <a:xfrm>
                      <a:off x="0" y="0"/>
                      <a:ext cx="4286250" cy="1295400"/>
                    </a:xfrm>
                    <a:prstGeom prst="rect">
                      <a:avLst/>
                    </a:prstGeom>
                  </pic:spPr>
                </pic:pic>
              </a:graphicData>
            </a:graphic>
          </wp:inline>
        </w:drawing>
      </w:r>
    </w:p>
    <w:tbl>
      <w:tblPr>
        <w:tblW w:w="6281" w:type="dxa"/>
        <w:jc w:val="left"/>
        <w:tblInd w:w="0" w:type="dxa"/>
        <w:tblLayout w:type="fixed"/>
        <w:tblCellMar>
          <w:top w:w="28" w:type="dxa"/>
          <w:left w:w="28" w:type="dxa"/>
          <w:bottom w:w="28" w:type="dxa"/>
          <w:right w:w="28" w:type="dxa"/>
        </w:tblCellMar>
      </w:tblPr>
      <w:tblGrid>
        <w:gridCol w:w="972"/>
        <w:gridCol w:w="854"/>
        <w:gridCol w:w="858"/>
        <w:gridCol w:w="294"/>
        <w:gridCol w:w="294"/>
        <w:gridCol w:w="298"/>
        <w:gridCol w:w="149"/>
        <w:gridCol w:w="149"/>
        <w:gridCol w:w="149"/>
        <w:gridCol w:w="294"/>
        <w:gridCol w:w="294"/>
        <w:gridCol w:w="298"/>
        <w:gridCol w:w="149"/>
        <w:gridCol w:w="149"/>
        <w:gridCol w:w="149"/>
        <w:gridCol w:w="272"/>
        <w:gridCol w:w="272"/>
        <w:gridCol w:w="387"/>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GigaCloud Marketplace GMV</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$414,192</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$518,218</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$794,433</w:t>
            </w:r>
          </w:p>
        </w:tc>
      </w:tr>
    </w:tbl>
    <w:tbl>
      <w:tblPr>
        <w:tblW w:w="837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524"/>
        <w:gridCol w:w="524"/>
        <w:gridCol w:w="526"/>
        <w:gridCol w:w="109"/>
        <w:gridCol w:w="109"/>
        <w:gridCol w:w="109"/>
        <w:gridCol w:w="379"/>
        <w:gridCol w:w="379"/>
        <w:gridCol w:w="381"/>
        <w:gridCol w:w="109"/>
        <w:gridCol w:w="109"/>
        <w:gridCol w:w="109"/>
        <w:gridCol w:w="654"/>
        <w:gridCol w:w="654"/>
        <w:gridCol w:w="656"/>
        <w:gridCol w:w="109"/>
        <w:gridCol w:w="109"/>
        <w:gridCol w:w="109"/>
        <w:gridCol w:w="189"/>
        <w:gridCol w:w="189"/>
        <w:gridCol w:w="26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1C3462"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FFFFFF"/>
                <w:sz w:val="20"/>
              </w:rPr>
            </w:pPr>
            <w:r>
              <w:rPr>
                <w:rFonts w:ascii="Times New Roman;sans-serif" w:hAnsi="Times New Roman;sans-serif"/>
                <w:b/>
                <w:color w:val="FFFFFF"/>
                <w:sz w:val="20"/>
              </w:rPr>
              <w:t>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15"/>
            <w:tcBorders/>
            <w:shd w:fill="EB6822"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FFFFFF"/>
                <w:sz w:val="20"/>
              </w:rPr>
            </w:pPr>
            <w:r>
              <w:rPr>
                <w:rFonts w:ascii="Times New Roman;sans-serif" w:hAnsi="Times New Roman;sans-serif"/>
                <w:b/>
                <w:color w:val="FFFFFF"/>
                <w:sz w:val="20"/>
              </w:rPr>
              <w:t>Product Revenues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1C3462"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FFFFFF"/>
                <w:sz w:val="16"/>
              </w:rPr>
            </w:pPr>
            <w:r>
              <w:rPr>
                <w:rFonts w:ascii="Times New Roman;sans-serif" w:hAnsi="Times New Roman;sans-serif"/>
                <w:b/>
                <w:color w:val="FFFFFF"/>
                <w:sz w:val="16"/>
              </w:rPr>
              <w:t>GigaCloud 3P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B6822"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FFFFFF"/>
                <w:sz w:val="16"/>
              </w:rPr>
            </w:pPr>
            <w:r>
              <w:rPr>
                <w:rFonts w:ascii="Times New Roman;sans-serif" w:hAnsi="Times New Roman;sans-serif"/>
                <w:b/>
                <w:color w:val="FFFFFF"/>
                <w:sz w:val="16"/>
              </w:rPr>
              <w:t>GigaCloud 1P</w:t>
            </w:r>
          </w:p>
        </w:tc>
        <w:tc>
          <w:tcPr>
            <w:tcW w:w="327" w:type="dxa"/>
            <w:gridSpan w:val="3"/>
            <w:tcBorders/>
            <w:shd w:fill="EB682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B6822"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FFFFFF"/>
                <w:sz w:val="16"/>
              </w:rPr>
            </w:pPr>
            <w:r>
              <w:rPr>
                <w:rFonts w:ascii="Times New Roman;sans-serif" w:hAnsi="Times New Roman;sans-serif"/>
                <w:b/>
                <w:color w:val="FFFFFF"/>
                <w:sz w:val="16"/>
              </w:rPr>
              <w:t>Off-Platform Ecommerce</w:t>
            </w:r>
          </w:p>
        </w:tc>
        <w:tc>
          <w:tcPr>
            <w:tcW w:w="327" w:type="dxa"/>
            <w:gridSpan w:val="3"/>
            <w:tcBorders/>
            <w:shd w:fill="EB682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6822"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FFFFFF"/>
                <w:sz w:val="16"/>
              </w:rPr>
            </w:pPr>
            <w:r>
              <w:rPr>
                <w:rFonts w:ascii="Times New Roman;sans-serif" w:hAnsi="Times New Roman;sans-serif"/>
                <w:b/>
                <w:color w:val="FFFFFF"/>
                <w:sz w:val="16"/>
              </w:rPr>
              <w:t>Others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$188,266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$299,930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r>
    </w:tbl>
    <w:p>
      <w:pPr>
        <w:pStyle w:val="TextBody"/>
        <w:bidi w:val="0"/>
        <w:spacing w:lineRule="auto" w:line="288" w:before="1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facilitating B2B ecommerce transactions in our GigaCloud Marketplace. We built the GigaCloud Marketplace to democratize access and distribution globally so that manufacturers, who are typically sellers in our marketplace, and online resellers, who are typically buyers in our marketplace, can transact without borders. Manufacturers view our marketplace as an essential sales channel to thousands of online resellers in the U.S., Asia and Europe. Our GigaCloud Marketplace enables manufacturers to deliver their products around the world. Additionally, online resellers may lack the resources and infrastructure to manage a global supply chain and support international distribution. Our integrated ecommerce solutions allow online resellers to offer products and services comparable to those offered by large ecommerce platforms by giving them access to a large and growing catalog of products at wholesale prices, supported by industry-leading global fulfillment capabilities.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enhance our marketplace experience, we also sell our own inventory, or 1P products, through the GigaCloud Marketplace and to and through third-party ecommerce websites such as Rakuten in Japan, and Amazon, Walmart, Home Depot, Overstock and Wayfair in the U.S. and OTTO in Germany. These product revenues expand our market presence, reduce inventory and logistics risk for suppliers, create more products for buyers, drive volume-based cost efficiencies for sourcing products and provide us with data and increase the velocity of sales on our marketplace. Product revenues through the GigaCloud Marketplace and to and through third-party ecommerce websites represented 76.3%, 71.3% and 71.7% of total revenues in 2021, 2022 and 2023, respectively. As we focus on expanding our GigaCloud Marketplace into a leading global large parcel B2B marketplace, we expect service revenues from 3P to grow faster than product revenues from 1P in the future, but we expect 1P to remain an important distribution channel for our own inventory.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service revenues totaled $98.3 million and product revenues totaled $315.9 million in 2021, representing a 63.5% and 46.7% increase over 2020, respectively. Our service revenues totaled $140.6 million and product revenues totaled $349.4 million in 2022, representing a 43.0% and 10.6% increase over 2021, respectively. Our service revenues totaled $199.2 million and product revenues totaled $504.6 million in 2023, representing a 41.7% and 44.4% increase over 2022, respectively. In 2021, 2022 and 2023, our total GMV was $541.8 million, $636.0 million and $999.1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respectively, of which GigaCloud Marketplace GMV was $414.2 million, $518.2 million and $794.4 million, respectively, and off-platform ecommerce GMV was $127.6 million, $117.8 million and $204.6 million, respectively.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22, 2022, we completed our initial public offering of 3,381,000 Class A ordinary shares, including the additional shares sold pursuant to the over-allotment option which we granted to the underwriter. On August 18, 2022, we listed our Class A ordinary shares on the Nasdaq Global Market under the symbol “GCT.” We raised approximately $33.4 million from our initial public offering in net proceeds after deducting underwriting commissions and the offering expenses payable by us.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established a share repurchase program under which we may purchase up to $25.0 million of its Class A ordinary shares, par value $0.05, over a 12-month period. As of December 31, 2023, we repurchased an aggregate of approximately 215,000 Class A ordinary shares in the open market at a total consideration of approximately $1.6 million pursuant to the share repurchase program. </w:t>
      </w:r>
    </w:p>
    <w:p>
      <w:pPr>
        <w:pStyle w:val="TextBody"/>
        <w:bidi w:val="0"/>
        <w:spacing w:before="0" w:after="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In October 2023, we completed the acquisition of Noble House, a leading B2B distributor of indoor and outdoor home furnishings, for an aggregate consideration of approximately $77.6 million. T</w:t>
      </w:r>
      <w:r>
        <w:rPr>
          <w:rFonts w:ascii="Times New Roman;sans-serif" w:hAnsi="Times New Roman;sans-serif"/>
          <w:b w:val="false"/>
          <w:color w:val="000000"/>
          <w:sz w:val="20"/>
          <w:shd w:fill="FFFFFF" w:val="clear"/>
        </w:rPr>
        <w:t xml:space="preserve">he Noble House acquisition was funded using cash on hand from operations. </w:t>
      </w:r>
      <w:r>
        <w:rPr>
          <w:rFonts w:ascii="Times New Roman;sans-serif" w:hAnsi="Times New Roman;sans-serif"/>
          <w:b w:val="false"/>
          <w:color w:val="000000"/>
          <w:sz w:val="20"/>
        </w:rPr>
        <w:t xml:space="preserve">The acquisition added valuable assets, including but not limited to, inventory, warehouse leases, intangible assets such as technology assets, and other assets which can be further utilized and to supplement our B2B ecommerce ecosystem. For more details, see Note 3, Business Combinations, in the notes to the consolidated financial statements included elsewhere in this annual report.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we completed the acquisition of a 100% equity interest of Wondersign, for an aggregate purchase price of approximately $10.0 million. The Wondersign acquisition was funded using cash on hand from operations. Wondersign is a cloud-based interactive digital signage and e-catalog management SaaS company headquartered in Tampa, Florida with access to thousands of storefronts across the United States through its customers. Wondersign develops and maintains “Catalog Kiosk,” a leading digital catalog software that allows retailers to display an endless aisle of products and better connect with today’s omni-channel shoppers. For more details, see Note 3, Business Combinations, in the notes to the consolidated financial statements included elsewhere in this annual report. </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acquisitions of Noble House and Wondersign had no impact on our Group’s weighted-average shares as no shares were issued.</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Noble House primarily contributes product revenues to our off-platform ecommerce revenue streams, while Wondersign primarily contributes service revenues from its catalog subscription services, and other product revenues from the sales of its Catalog Kiosk display units.</w:t>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impact from the acquisitions of Noble House and Wondersign was reflected in our financial results in the fourth quarter and full year of 2023. The operating impact from these acquisitions has not been reflected in the operating metrics in our GigaCloud Marketplace in this annual report.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Business Model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GigaCloud Marketplace, our global B2B ecommerce platform, integrates all aspects of a transaction from product discovery to payments to logistics tools into one easy-to-use platform. Sellers and buyers from our targeted markets around the world leverage our cross-border fulfillment network, which is optimized for large parcel products, in order to trade with each other while saving costs. Underpinned by a network of strategically placed warehouses and supply chain capabilities, our marketplace is designed to simplify and mitigate logistics and inventory requirements for both our sellers and buyers.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we attract new sellers and buyers to our marketplace, we leverage our technology and supply chain solutions to drive retention. We provide value-added services like product sales forecasts to our sellers to allow them to more efficiently manage inventory and reduce costs. Our integrated supply chain also offers manufacturers and online resellers in our marketplace enhanced visibility into product inventory, reducing inventory turnover and associated transaction costs. The value of our model is demonstrated by the growth in GMV from our new and existing sellers and buyers.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2022 and 2023, GigaCloud Marketplace had 382, 560 and 815 active 3P sellers, and 3,566, 4,156 and 5,010 active buyers, respectively. Sellers in our marketplace are typically manufacturers based in Asia, who are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leverage our supply chain capabilities to establish overseas sales channels without having to invest in their own logistics or rely on intermediaries. The buyers in our marketplace are typically resellers based in the U.S., Asia and Europe that procure products at wholesale prices and subsequently sell on third-party B2C platforms.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GigaCloud 3P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Through GigaCloud 3P, we generate service revenues through the various 3P activities of sellers and buyers in our GigaCloud Marketplace, which result in revenues from platform commission, ocean transportation service, warehousing service, last-mile delivery service, packaging service and others. When a seller and buyer enter into a transaction in GigaCloud Marketplace, we generate revenues from platform services by earning a percentage commission depending on the transaction value. The standard commission ranges between 1% and 5% depending on the size of the transaction. We charge fees for ocean transportation services such as delivery of products via ocean and other modes of transportation, warehousing fees in connection with the storage of products in our warehouses, and last-mile delivery fees if the buyer requires last-mile delivery services. We also charge packaging fees in connection with merchandise that we pack and ship.</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in 2021, 2022 and 2023, when we had excess fulfillment capacity, we utilized such excess fulfillment capacity and our extensive logistics network to offer third-party logistics services to customers to help fulfill their large parcel transportation needs. As we continue to grow our GigaCloud Marketplace, we expect to dedicate our logistics capacity to products sold on our own marketplace, and will only opportunistically provide third-party logistics services when there is excess capacity within our network.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 below displays the quarterly GigaCloud Marketplace GMV of our 3P sellers in our GigaCloud Marketplace in 2021, 2022 and 2023. 2021 3P Sellers, 2022 3P Sellers and 2023 3P Sellers represent the groups of sellers who first sold products in our GigaCloud Marketplace in 2021, 2022 and 2023, respectively. The Active 3P Sellers shows the total number of sellers who had sold at least one item in our GigaCloud Marketplace in the last 12 months. 2021 3P Sellers, 2022 3P Sellers and 2023 3P Sellers have demonstrated attractive consistent growth in both number of sellers and GigaCloud Marketplace GMV, as shown below: </w:t>
      </w:r>
    </w:p>
    <w:tbl>
      <w:tblPr>
        <w:tblW w:w="3089" w:type="dxa"/>
        <w:jc w:val="center"/>
        <w:tblInd w:w="0" w:type="dxa"/>
        <w:tblLayout w:type="fixed"/>
        <w:tblCellMar>
          <w:top w:w="28" w:type="dxa"/>
          <w:left w:w="28" w:type="dxa"/>
          <w:bottom w:w="28" w:type="dxa"/>
          <w:right w:w="28" w:type="dxa"/>
        </w:tblCellMar>
      </w:tblPr>
      <w:tblGrid>
        <w:gridCol w:w="989"/>
        <w:gridCol w:w="868"/>
        <w:gridCol w:w="1232"/>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005FA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FFFFFF"/>
                <w:sz w:val="16"/>
              </w:rPr>
            </w:pPr>
            <w:r>
              <w:rPr>
                <w:rFonts w:ascii="Times New Roman;sans-serif" w:hAnsi="Times New Roman;sans-serif"/>
                <w:b w:val="false"/>
                <w:color w:val="FFFFFF"/>
                <w:sz w:val="16"/>
              </w:rPr>
              <w:t>3P Seller GMV in GigaCloud Marketplace</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2"/>
              </w:rPr>
            </w:pPr>
            <w:r>
              <w:rPr>
                <w:rFonts w:ascii="Times New Roman;sans-serif" w:hAnsi="Times New Roman;sans-serif"/>
                <w:b w:val="false"/>
                <w:i/>
                <w:color w:val="000000"/>
                <w:sz w:val="12"/>
              </w:rPr>
              <w:t>($ in thousands, except for number of Active 3P Sellers)</w:t>
            </w:r>
          </w:p>
        </w:tc>
      </w:tr>
    </w:tbl>
    <w:p>
      <w:pPr>
        <w:pStyle w:val="TextBody"/>
        <w:bidi w:val="0"/>
        <w:spacing w:before="0" w:after="0"/>
        <w:ind w:left="0" w:right="0" w:firstLine="1102"/>
        <w:jc w:val="center"/>
        <w:rPr/>
      </w:pPr>
      <w:r>
        <w:rPr/>
        <w:drawing>
          <wp:inline distT="0" distB="0" distL="0" distR="0">
            <wp:extent cx="5943600" cy="2924175"/>
            <wp:effectExtent l="0" t="0" r="0" b="0"/>
            <wp:docPr id="8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 descr=""/>
                    <pic:cNvPicPr>
                      <a:picLocks noChangeAspect="1" noChangeArrowheads="1"/>
                    </pic:cNvPicPr>
                  </pic:nvPicPr>
                  <pic:blipFill>
                    <a:blip r:embed="rId8"/>
                    <a:stretch>
                      <a:fillRect/>
                    </a:stretch>
                  </pic:blipFill>
                  <pic:spPr bwMode="auto">
                    <a:xfrm>
                      <a:off x="0" y="0"/>
                      <a:ext cx="5943600" cy="2924175"/>
                    </a:xfrm>
                    <a:prstGeom prst="rect">
                      <a:avLst/>
                    </a:prstGeom>
                  </pic:spPr>
                </pic:pic>
              </a:graphicData>
            </a:graphic>
          </wp:inline>
        </w:drawing>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 below displays the quarterly GigaCloud Marketplace GMV of our buyers in our GigaCloud Marketplace in 2021, 2022 and 2023. 2021 Buyers, 2022 Buyers and 2023 Buyers represent the groups of buyers who first purchased products in our GigaCloud Marketplace in 2021, 2022 and 2023, respectively. The Active Buyers shows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buyers who had made at least one purchase in our GigaCloud Marketplace in the last 12 months. Our number of buyers and buyer GMV have grown consistently since inception, as shown below:</w:t>
      </w:r>
    </w:p>
    <w:tbl>
      <w:tblPr>
        <w:tblW w:w="3150" w:type="dxa"/>
        <w:jc w:val="center"/>
        <w:tblInd w:w="0" w:type="dxa"/>
        <w:tblLayout w:type="fixed"/>
        <w:tblCellMar>
          <w:top w:w="28" w:type="dxa"/>
          <w:left w:w="28" w:type="dxa"/>
          <w:bottom w:w="28" w:type="dxa"/>
          <w:right w:w="28" w:type="dxa"/>
        </w:tblCellMar>
      </w:tblPr>
      <w:tblGrid>
        <w:gridCol w:w="1009"/>
        <w:gridCol w:w="885"/>
        <w:gridCol w:w="1256"/>
      </w:tblGrid>
      <w:tr>
        <w:trPr/>
        <w:tc>
          <w:tcPr>
            <w:tcW w:w="10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005FA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FFFFFF"/>
                <w:sz w:val="16"/>
              </w:rPr>
            </w:pPr>
            <w:r>
              <w:rPr>
                <w:rFonts w:ascii="Times New Roman;sans-serif" w:hAnsi="Times New Roman;sans-serif"/>
                <w:b w:val="false"/>
                <w:color w:val="FFFFFF"/>
                <w:sz w:val="16"/>
              </w:rPr>
              <w:t>All Buyer GMV in GigaCloud Marketplace</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2"/>
              </w:rPr>
            </w:pPr>
            <w:r>
              <w:rPr>
                <w:rFonts w:ascii="Times New Roman;sans-serif" w:hAnsi="Times New Roman;sans-serif"/>
                <w:b w:val="false"/>
                <w:i/>
                <w:color w:val="000000"/>
                <w:sz w:val="12"/>
              </w:rPr>
              <w:t>($ in thousands, except for number of Active Buyers)</w:t>
            </w:r>
          </w:p>
        </w:tc>
      </w:tr>
    </w:tbl>
    <w:p>
      <w:pPr>
        <w:pStyle w:val="TextBody"/>
        <w:bidi w:val="0"/>
        <w:spacing w:before="0" w:after="0"/>
        <w:ind w:left="0" w:right="0" w:firstLine="1102"/>
        <w:jc w:val="center"/>
        <w:rPr/>
      </w:pPr>
      <w:r>
        <w:rPr/>
        <w:drawing>
          <wp:inline distT="0" distB="0" distL="0" distR="0">
            <wp:extent cx="5943600" cy="2924175"/>
            <wp:effectExtent l="0" t="0" r="0" b="0"/>
            <wp:docPr id="9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 descr=""/>
                    <pic:cNvPicPr>
                      <a:picLocks noChangeAspect="1" noChangeArrowheads="1"/>
                    </pic:cNvPicPr>
                  </pic:nvPicPr>
                  <pic:blipFill>
                    <a:blip r:embed="rId9"/>
                    <a:stretch>
                      <a:fillRect/>
                    </a:stretch>
                  </pic:blipFill>
                  <pic:spPr bwMode="auto">
                    <a:xfrm>
                      <a:off x="0" y="0"/>
                      <a:ext cx="5943600" cy="2924175"/>
                    </a:xfrm>
                    <a:prstGeom prst="rect">
                      <a:avLst/>
                    </a:prstGeom>
                  </pic:spPr>
                </pic:pic>
              </a:graphicData>
            </a:graphic>
          </wp:inline>
        </w:drawing>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GigaCloud 1P </w:t>
      </w:r>
    </w:p>
    <w:p>
      <w:pPr>
        <w:pStyle w:val="TextBody"/>
        <w:bidi w:val="0"/>
        <w:spacing w:lineRule="auto" w:line="288" w:before="10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GigaCloud 1P, we further enhance our marketplace experience by selling our own inventory. Our 1P business creates more products for buyers, gives us insights into seller needs, provides us with proprietary data and increases the velocity of sales in our marketplace. Through GigaCloud 1P, we generate revenues from product sales.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Off-platform Ecommerce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facilitating transactions in our GigaCloud Marketplace, we also procure highly rated products directly from manufacturers and sell them directly to and through third-party ecommerce websites such as Rakuten, Amazon, Walmart, Wayfair, Home Depot and OTTO. Off-platform ecommerce sales deepen our relationships with suppliers and provide us with proprietary data. Through off-platform ecommerce, we generate revenues from product sales.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COVID-19 Pandemic </w:t>
      </w:r>
    </w:p>
    <w:p>
      <w:pPr>
        <w:pStyle w:val="TextBody"/>
        <w:bidi w:val="0"/>
        <w:spacing w:lineRule="auto" w:line="288" w:before="120" w:after="283"/>
        <w:ind w:left="0" w:right="0" w:firstLine="1102"/>
        <w:jc w:val="left"/>
        <w:rPr/>
      </w:pPr>
      <w:r>
        <w:rPr>
          <w:rFonts w:ascii="Times New Roman;sans-serif" w:hAnsi="Times New Roman;sans-serif"/>
          <w:b w:val="false"/>
          <w:color w:val="000000"/>
          <w:sz w:val="20"/>
        </w:rPr>
        <w:t>The COVID-19 pandemic negatively impacted the global economy, disrupted consumer spending and global supply chains and created significant volatility and disruption of financial markets. The COVID-19 pandemic and the various responses to it globally created significant volatility, uncertainty and economic disruption. During the COVID-19 pandemic, authorities across the U.S. and the globe implemented varying degrees of restriction on social and commercial activities. While these restrictions were largely lifted in 2023, some regions have seen a resurgence of COVID-19 cases resulting in consideration of reinstitution of certain protective</w:t>
      </w:r>
      <w:r>
        <w:rPr>
          <w:color w:val="000000"/>
        </w:rPr>
        <w:t xml:space="preserve"> </w:t>
      </w:r>
      <w:r>
        <w:rPr>
          <w:rFonts w:ascii="Times New Roman;sans-serif" w:hAnsi="Times New Roman;sans-serif"/>
          <w:b w:val="false"/>
          <w:color w:val="000000"/>
          <w:sz w:val="20"/>
        </w:rPr>
        <w:t>measures.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this time, our focus remains on serving our customers and on promoting the health, safety and financial security of our employees. We have taken a number of precautionary measures as may be required, including enhancing cleaning measures, instituting COVID-19 testing in our facilities, suspending all non-essential travel, transitioning a large portion of our employees to working-from-home arrangements and developing no-contact delivery methods. While the COVID-19 pandemic has not had a material adverse impact on our operations to date and we believe the long-term opportunities for large parcel merchandise remains unchanged, it is difficult to predict all of the positive or negative impacts that the COVID-19 pandemic will have on our business over the short and long term. See “Item 1A. Risk Factors—Risks Related to Our Business and Industry—The COVID-19 pandemic, and any future outbreaks or other public health emergencies, could materially affect our business, liquidity, financial condition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Financial and Operating Metrics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the following key financial and operating metrics to evaluate the growth of our GigaCloud Marketplace, measure our performance, identify trends affecting our business, formulate business plans and make strategic decisions. The financial impact from the acquisitions of Noble House and Wondersign was reflected in our financial results in the fourth quarter and full year of 2023. The operating impact from these acquisitions has not been reflected in the operating metrics in our GigaCloud Marketplace in this annual report.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key financial and operating metrics for the periods indicated: </w:t>
      </w:r>
    </w:p>
    <w:tbl>
      <w:tblPr>
        <w:tblW w:w="8757" w:type="dxa"/>
        <w:jc w:val="center"/>
        <w:tblInd w:w="0" w:type="dxa"/>
        <w:tblLayout w:type="fixed"/>
        <w:tblCellMar>
          <w:top w:w="28" w:type="dxa"/>
          <w:left w:w="28" w:type="dxa"/>
          <w:bottom w:w="28" w:type="dxa"/>
          <w:right w:w="28" w:type="dxa"/>
        </w:tblCellMar>
      </w:tblPr>
      <w:tblGrid>
        <w:gridCol w:w="1672"/>
        <w:gridCol w:w="1472"/>
        <w:gridCol w:w="1476"/>
        <w:gridCol w:w="211"/>
        <w:gridCol w:w="826"/>
        <w:gridCol w:w="109"/>
        <w:gridCol w:w="109"/>
        <w:gridCol w:w="109"/>
        <w:gridCol w:w="109"/>
        <w:gridCol w:w="211"/>
        <w:gridCol w:w="826"/>
        <w:gridCol w:w="109"/>
        <w:gridCol w:w="109"/>
        <w:gridCol w:w="109"/>
        <w:gridCol w:w="109"/>
        <w:gridCol w:w="211"/>
        <w:gridCol w:w="826"/>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GigaCloud Marketplace: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2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GigaCloud Marketplace GMV (in $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3P sellers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r>
      <w:tr>
        <w:trPr/>
        <w:tc>
          <w:tcPr>
            <w:tcW w:w="462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buyers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Spend per active buyer (in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CFF" w:val="clear"/>
            <w:tcMar>
              <w:top w:w="0" w:type="dxa"/>
              <w:left w:w="0" w:type="dxa"/>
              <w:bottom w:w="0" w:type="dxa"/>
              <w:right w:w="0" w:type="dxa"/>
            </w:tcMar>
            <w:vAlign w:val="center"/>
          </w:tcPr>
          <w:p>
            <w:pPr>
              <w:pStyle w:val="TableContents"/>
              <w:bidi w:val="0"/>
              <w:spacing w:lineRule="auto" w:line="288" w:before="36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3P seller GigaCloud Marketplace GMV(in $ thousands)</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156,853 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426,347 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GigaCloud Marketplace GMV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growth in GigaCloud Marketplace GMV, including GMV from both GigaCloud 3P and GigaCloud 1P, reflects our ability to attract and retain sellers and buyers in the GigaCloud Marketplace. The revenues we generate in our marketplace are highly correlated to the amount of GMV transacted in the GigaCloud Marketplace.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GigaCloud Marketplace GMV increased from $414.2 million in 2021 to $518.2 million in 2022, representing a growth of 25.1% year-over-year, and further increased to $794.4 million in 2023, representing a growth of 53.3% year-over-year, primarily due to the continued increase in the numbers of sellers and buyers transacting in our marketplace and an increase in spend per active buyer as our marketplace continued to gain scale and market position. </w:t>
      </w:r>
    </w:p>
    <w:tbl>
      <w:tblPr>
        <w:tblW w:w="3045" w:type="dxa"/>
        <w:jc w:val="center"/>
        <w:tblInd w:w="0" w:type="dxa"/>
        <w:tblLayout w:type="fixed"/>
        <w:tblCellMar>
          <w:top w:w="28" w:type="dxa"/>
          <w:left w:w="28" w:type="dxa"/>
          <w:bottom w:w="28" w:type="dxa"/>
          <w:right w:w="28" w:type="dxa"/>
        </w:tblCellMar>
      </w:tblPr>
      <w:tblGrid>
        <w:gridCol w:w="975"/>
        <w:gridCol w:w="856"/>
        <w:gridCol w:w="1214"/>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005FA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FFFFFF"/>
                <w:sz w:val="16"/>
              </w:rPr>
            </w:pPr>
            <w:r>
              <w:rPr>
                <w:rFonts w:ascii="Times New Roman;sans-serif" w:hAnsi="Times New Roman;sans-serif"/>
                <w:b w:val="false"/>
                <w:color w:val="FFFFFF"/>
                <w:sz w:val="16"/>
              </w:rPr>
              <w:t>GigaCloud Marketplace GMV by Quarter</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2"/>
              </w:rPr>
            </w:pPr>
            <w:r>
              <w:rPr>
                <w:rFonts w:ascii="Times New Roman;sans-serif" w:hAnsi="Times New Roman;sans-serif"/>
                <w:b w:val="false"/>
                <w:i/>
                <w:color w:val="000000"/>
                <w:sz w:val="12"/>
              </w:rPr>
              <w:t>($ in thousands)</w:t>
            </w:r>
          </w:p>
        </w:tc>
      </w:tr>
    </w:tbl>
    <w:p>
      <w:pPr>
        <w:pStyle w:val="TextBody"/>
        <w:bidi w:val="0"/>
        <w:spacing w:before="0" w:after="0"/>
        <w:ind w:left="0" w:right="0" w:firstLine="1102"/>
        <w:jc w:val="center"/>
        <w:rPr/>
      </w:pPr>
      <w:r>
        <w:rPr/>
        <w:drawing>
          <wp:inline distT="0" distB="0" distL="0" distR="0">
            <wp:extent cx="5943600" cy="2924175"/>
            <wp:effectExtent l="0" t="0" r="0" b="0"/>
            <wp:docPr id="9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 descr=""/>
                    <pic:cNvPicPr>
                      <a:picLocks noChangeAspect="1" noChangeArrowheads="1"/>
                    </pic:cNvPicPr>
                  </pic:nvPicPr>
                  <pic:blipFill>
                    <a:blip r:embed="rId10"/>
                    <a:stretch>
                      <a:fillRect/>
                    </a:stretch>
                  </pic:blipFill>
                  <pic:spPr bwMode="auto">
                    <a:xfrm>
                      <a:off x="0" y="0"/>
                      <a:ext cx="5943600" cy="2924175"/>
                    </a:xfrm>
                    <a:prstGeom prst="rect">
                      <a:avLst/>
                    </a:prstGeom>
                  </pic:spPr>
                </pic:pic>
              </a:graphicData>
            </a:graphic>
          </wp:inline>
        </w:drawing>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Active 3P Sellers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active 3P sellers in the GigaCloud Marketplace has been increasing every quarter since the first quarter of 2020. We had 382 active 3P sellers in 2021, 560 active 3P sellers in 2022 and 815 active 3P sellers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view active 3P sellers as a key driver of the product catalog in our marketplace, which helps attract and retain buyers. The GigaCloud Marketplace offers SKUs across furniture, home appliances, fitness equipment and other large parcel categories from our active 3P sellers. The number of SKUs increased from 6,334 as of December 31, 2021 to 12,312 as of December 31, 2022, and further increased to 22,101 as of December 31, 2023. We expect continued growth in the number of active 3P sellers through expansion into new markets, reaching out to suppliers of the brick-and-mortar channels that we connected through the Wondersign acquisition, internal sales initiatives, referrals by existing users and word-of-mouth. We leverage our 1P inventory to help establish and validate markets for new sellers, helping them onboard to our marketplace.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Active Buyers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active buyers in the GigaCloud Marketplace has been increasing in almost every quarter since the first quarter in 2020. We had 3,566 active buyers in 2021, 4,156 active buyers in 2022 and 5,010 active buyers in 2023. We view the number of active buyers as a key driver of our GigaCloud Marketplace GMV and revenue growth, and a key indicator of our ability to attract and engage buyers in our marketplace. We expect continued growth in the number of active buyers by attracting the new brick-and-mortar retailers that are using the services from Wondersign to becoming our buyers, internal sales initiatives, referrals by existing users, word-of-mouth and direct visits to our website.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Spend Per Active Buyer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spend per active buyer in our GigaCloud Marketplace were $116,150 in 2021, $124,692 in 2022, representing an increase of 7.4% from 2021 and $158,569 in 2023, representing an increase of 27.2% from 2022. We view spend per active buyer as a key driver of our GigaCloud Marketplace GMV and revenue growth. Spend per active buyer is driven by expanding the product categories, increasing the frequency of buyer purchases and growing the average price per purchase. Spend per active buyer increased in 2023, primarily due to our expanded product catalog, increase in the mix of higher priced products, introduction of new value-added services to improve the shopping experience and our enhanced supply chain capabilities for better fulfillment.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3P Seller GigaCloud Marketplace GMV</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3P Seller GigaCloud Marketplace GMV represents the GMV our 3P Sellers transact on our GigaCloud Marketplace. 3P Seller GigaCloud Marketplace GMV was $156.9 million in 2021 and $257.7 million in 2022, representing an increase of 64.3% from 2021, and $426.3 million in 2023, representing an increase of 65.4% from 2022. 3P Seller GigaCloud Marketplace GMV represented 37.9%, 49.7% and 53.7% of total GigaCloud Marketplace GMV in 2021, 2022 and 2023, respectively.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Factors Affecting Our Results of Operations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 factors affecting our results of operations include the following: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Attract and Retain Sellers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Sellers in our marketplace are typically manufacturers based in Asia who are able to use our supply chain capabilities to establish overseas sales channels without having to invest in their own logistics or warehouses overseas. We are focused on growing and retaining the number of sellers who choose to list their large parcel merchandise in our marketplace and utilize our logistics network for the shipping and handling of their products.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number of active 3P sellers was 382 in 2021, compared to 560 in 2022 and 815 in 2023, representing an increase of 46.6% from 2021 and an increase of 45.5% from 2022. We believe this increasing trend will continue because of the growing recognition of our marketplace, our seller-friendly comprehensive logistics network enabling hassle-free delivery of large parcel merchandise and our expansion into new markets.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Using our marketplace, sellers are able to quickly gain access to key global markets in which we operate, including the U.S., the U.K., Germany, Japan and Canada. We provide a flat rate program for shipping and handling, and sellers are able to utilize our warehouse space. We also create sales analytics which provide valuable information as sellers determine which products to bring to market.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attract new sellers predominantly through organic channels such as referrals by existing users, word-of-mouth, or direct visits to our website. In 2023, we completed the acquisitions of Noble House and Wondersign,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supplemented our supply chain, fulfillment and logistics capabilities and we expect to attract more sellers and buyers onto our GigaCloud Marketplace after these strategic acquisitions. We also plan to augment organic customer acquisition by adding additional sales and marketing employees to enhance seller and buyer growth.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Attract and Retain Buyers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Buyers in our marketplace are typically resellers based in the U.S., Asia and Europe who procure large parcel merchandise to resell to end customers. Our marketplace is attractive to buyers because we minimize inventory risk from our buyers’ business operations. Our buyers can browse a product in our marketplace and list the product on their preferred ecommerce websites such as Rakuten, Amazon, Walmart, Wayfair, Home Depot and OTTO, or their own store prior to procuring and storing the product in a warehouse or shop. Once a sale to the end customer takes place, buyers can order the product in our marketplace and we will handle the fulfillment directly to the end customer.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had 3,566 active buyers in our marketplace with an average $116,150 spend per active buyer, representing a 117.4% increase in active buyers and 3.0% increase in spend per active buyer compared to the previous year. In 2022, we had 4,156 active buyers in our marketplace with an average $124,692 spend per active buyer, representing a 25.1% increase in active buyers and 7.4% increase in spend per active buyer compared to the previous period. In 2023, we had 5,010 active buyers in our marketplace with an average $158,569 spend per active buyer, representing a 20.5% increase in active buyers and 27.2% increase in spend per active buyer compared to the previous period, primarily attributable to increased scale and recognition of our marketplace and an increase in the number of global sales channels for buyers to resell products to end customers.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2021, we have provided a remorse protection program, which can be purchased by the buyers in our GigaCloud Marketplace for a fee calculated based on the underlying purchase price of products purchased from our 3P business or 1P sales. The remorse protection program aims to cover a portion of the buyer’s risk when its customers seek compensation or discounts on certain items for non-product quality reasons and when actual losses are incurred. The program seeks to compensate the buyers for a portion of these actual losses for up to 60 days from the shipment of the product. We require evidence of actual loss to the products prior to any compensation. The fee we charge is based on our historical experience, buyers’ acceptance and the loss that we are willing to accept versus the benefits of the program. This is a service that we provide for our buyers to complement the service offerings in our GigaCloud Marketplace, on which buyers do not have to handle the logistics of product returns themselves or be subject to consumer remorse risks without any recourse. While the remorse protection program represents a small portion of our business operations thus far, it is an attractive service offering to our buyers who face product return risks.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Recent and Future Acquisitions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organic growth, we have grown through acquisitions that have deepened and expanded our presence in current markets and facilitated entry into attractive new markets.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completed the acquisition of Noble House, a leading B2B distributor of indoor and outdoor home furnishing, for an aggregate consideration of approximately $77.6 million, and the acquisition of Wondersign, a cloud-based interactive digital signage and e-catalog management SaaS company, for an aggregate purchase price of approximately $10.0 million.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acquisitions, our results of operations are affected by the newly acquired businesses or operations, the purchase accounting for the acquisition, any debt incurred in connection with the acquisitions and expenditures made to integrate the newly acquired businesses or operations. As a result of our acquisitions and the consolidation of our operating subsidiaries’ financial results into our consolidated financial results, the periods presented in our historical financial statements may not be comparable to one another and our future results of operations and financial results may also differ.</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Overall Economic Trends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overall economic environment and related changes in customer behavior have a significant impact on our business. Customer spending on our products and services is primarily discretionary, and therefore positive economic conditions generally drive stronger business performance.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 global economic uncertainties, inflation, higher interest rates, lower consumer confidence and demand for discretionary goods, and geopolitical events such as recent international trade disputes and the ongoing wars in Ukraine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in Israel and Gaza, including the related disruptions to international shipping in the Red Sea could impact the demand of products and shipping and freight rates. Other macroeconomic factors that can affect customer spending patterns include employment rates, availability of customer credit, interest rates, tax rates and energy costs.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Broaden Service Offerings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are also affected by our ability to introduce new service offerings. We have a history of expanding our service offering to enhance our customer experience and to increase revenues. We started our business by primarily selling our own self-procured large parcel merchandise directly to end customers. We expanded our service offerings and launched our GigaCloud Marketplace in 2019, and the revenues generated by GigaCloud Marketplace quickly grew to represent 69.2%, 76.0% and 70.9% of our total revenues in 2021, 2022 and 2023, respectively. We continue to evaluate opportunities to launch additional services. Since 2021, we have provided a remorse protection program that covers a portion of the buyer’s risk when its customers seek compensation or discount on certain items for non-product quality reasons and when actual losses are incurred for up to 60 days, which is an attractive service offering to our buyers. The remorse protection program can be purchased by the buyers in our GigaCloud Marketplace for a fee calculated based on the underlying purchase price of products purchased from our 3P business or 1P sales. As SKUs in our marketplace grows, we are also looking to roll out paid advertising tools that promote products based on search results. Additionally, we are leveraging our data analytics capabilities to develop new tools for users to improve their marketplace experience.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Effectively Invest in our Infrastructure and Technology Platform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depend in part on our ability to invest in our infrastructure and technology platform to cost-effectively meet the demands of our anticipated growth. As of December 31, 2023, our global logistics network included 33 warehouses with an aggregate gross floor area of approximately 8.2 million square feet in five countries. Additionally, we maintain partnerships with several major shipping, trucking and freight service providers to supplement our transportation network and shipping requirements.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improve our operational efficiency depends on our ability to invest in our technology infrastructure and platform, including our virtual warehousing solution and AI technology. We also invest in our research and development personnel for the design, development, and testing of our platform, and incur software development costs for the internal-use software and our Group's websites. We successfully improved our warehouse management solutions over the past years.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Seasonality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sales of home furniture and other large parcel items are subject to modest seasonality. We expect the last quarter of the year to be the most active.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GigaCloud Marketplace GMV is usually the largest in the fourth quarter of a year and we experienced increased year-over-year sales volume in the first, second and third quarters. It is uncertain whether this is an indicator of industry trends going forward.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Components of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service revenues from our GigaCloud 3P business, and product revenues from our GigaCloud 1P, off-platform ecommerce businesses and others. Service revenues from GigaCloud 3P, including revenues from platform commission, ocean transportation service, warehousing service, last-mile delivery service, packaging service and others is generated by facilitating transactions between sellers and buyers in our GigaCloud Marketplace. Product revenues from GigaCloud 1P is generated through the product sales of our inventory through our GigaCloud Marketplace,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revenues from off-platform ecommerce is generated from product sales of our inventory to and through third-party ecommerce websites.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breakdown of our revenues, both in absolute amount and as a percentage of our total revenues, for the periods presented: </w:t>
      </w:r>
    </w:p>
    <w:tbl>
      <w:tblPr>
        <w:tblW w:w="9813" w:type="dxa"/>
        <w:jc w:val="left"/>
        <w:tblInd w:w="0" w:type="dxa"/>
        <w:tblLayout w:type="fixed"/>
        <w:tblCellMar>
          <w:top w:w="28" w:type="dxa"/>
          <w:left w:w="28" w:type="dxa"/>
          <w:bottom w:w="28" w:type="dxa"/>
          <w:right w:w="28" w:type="dxa"/>
        </w:tblCellMar>
      </w:tblPr>
      <w:tblGrid>
        <w:gridCol w:w="881"/>
        <w:gridCol w:w="772"/>
        <w:gridCol w:w="777"/>
        <w:gridCol w:w="211"/>
        <w:gridCol w:w="841"/>
        <w:gridCol w:w="109"/>
        <w:gridCol w:w="109"/>
        <w:gridCol w:w="109"/>
        <w:gridCol w:w="109"/>
        <w:gridCol w:w="315"/>
        <w:gridCol w:w="316"/>
        <w:gridCol w:w="109"/>
        <w:gridCol w:w="109"/>
        <w:gridCol w:w="109"/>
        <w:gridCol w:w="109"/>
        <w:gridCol w:w="211"/>
        <w:gridCol w:w="841"/>
        <w:gridCol w:w="109"/>
        <w:gridCol w:w="109"/>
        <w:gridCol w:w="109"/>
        <w:gridCol w:w="109"/>
        <w:gridCol w:w="314"/>
        <w:gridCol w:w="317"/>
        <w:gridCol w:w="109"/>
        <w:gridCol w:w="109"/>
        <w:gridCol w:w="109"/>
        <w:gridCol w:w="109"/>
        <w:gridCol w:w="211"/>
        <w:gridCol w:w="841"/>
        <w:gridCol w:w="109"/>
        <w:gridCol w:w="109"/>
        <w:gridCol w:w="109"/>
        <w:gridCol w:w="109"/>
        <w:gridCol w:w="314"/>
        <w:gridCol w:w="317"/>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for percentages)</w:t>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 revenues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commission</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transportation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Warehousing service</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Last-mile delivery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service</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98,332</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23.7</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140,628</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28.7</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199,184</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28.3</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Product revenues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Off-platform ecommerce</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GigaCloud 1P</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315,865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349,443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504,647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reported are attributed to geographic areas based on locations of our warehouses, except for platform commission revenues which are attributed to Hong Kong, where the server of GigaCloud Marketplace is located. Revenues by geography for the years ended December 31, 2021, 2022 and 2023 is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tbl>
      <w:tblPr>
        <w:tblW w:w="7016" w:type="dxa"/>
        <w:jc w:val="left"/>
        <w:tblInd w:w="0" w:type="dxa"/>
        <w:tblLayout w:type="fixed"/>
        <w:tblCellMar>
          <w:top w:w="28" w:type="dxa"/>
          <w:left w:w="28" w:type="dxa"/>
          <w:bottom w:w="28" w:type="dxa"/>
          <w:right w:w="28" w:type="dxa"/>
        </w:tblCellMar>
      </w:tblPr>
      <w:tblGrid>
        <w:gridCol w:w="1025"/>
        <w:gridCol w:w="902"/>
        <w:gridCol w:w="907"/>
        <w:gridCol w:w="211"/>
        <w:gridCol w:w="841"/>
        <w:gridCol w:w="109"/>
        <w:gridCol w:w="109"/>
        <w:gridCol w:w="109"/>
        <w:gridCol w:w="109"/>
        <w:gridCol w:w="211"/>
        <w:gridCol w:w="841"/>
        <w:gridCol w:w="109"/>
        <w:gridCol w:w="109"/>
        <w:gridCol w:w="109"/>
        <w:gridCol w:w="109"/>
        <w:gridCol w:w="211"/>
        <w:gridCol w:w="84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 by geographic region:</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Service revenues: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Platform commission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Ocean transportation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19,703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Warehousing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24,423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Last-mile delivery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105,978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Packaging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17,296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20,597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Product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315,865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349,443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504,647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No other individual region's revenues exceeded 10% of the Company's total revenues for the years ended December 31, 2021, 2022 and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Service Revenues—GigaCloud 3P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derive service revenues primarily through the various 3P activities of sellers and buyers in the GigaCloud Marketplace, including revenues from platform commission, ocean transportation service, warehousing service, last-mile delivery service, packaging service and others. When a seller and buyer enter into a transaction in GigaCloud Marketplace, we generate revenues from platform services by earning a percentage commission depending on the transaction value. The standard commission ranges between 1% and 5%. Additionally, we charge a fulfillment fee for other freight services such as delivery of products via ocean transportation. We charge the sellers a flat, per day warehouse fee for storage of inventory in our warehouses, which varies by the size of the products, and we charge buyers a flat fee for last-mile delivery services for delivery of products to end customers directly from our warehouses, which varies by the weight and destination of the products. We also charge packaging fees in connection with merchandise that we pack and ship.</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in 2021, 2022 and 2023, when we had excess fulfillment capacity, we utilized such excess fulfillment capacity and our extensive logistics network to offer third-party logistics services to customers to help fulfill their large parcel transportation needs. As we continue to grow our GigaCloud Marketplace, we expect to dedicate our logistics capacity to customers using our marketplace and to products sold on our own marketplace, and will opportunistically provide third-party logistics services when there is excess capacity within our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605" cy="14605"/>
                <wp:effectExtent l="0" t="0" r="0" b="0"/>
                <wp:wrapNone/>
                <wp:docPr id="99" name="Frame9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Revenues—GigaCloud 1P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product revenues from the sales of products through selling our own inventory on our marketplace. This 1P business creates more products for buyers, gives us insights into seller needs, provides us with proprietary data and increases the velocity of sales in our marketplace.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Revenues—Off-platform Ecommerce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product revenues primarily from the sales of our own inventory through two sales models, which are (i) product sales made to third-party ecommerce websites, or Product Sales to B, such as Wayfair, Walmart, Home Depot, Target and Overstock; and (ii) product sales to individual customers through third-party ecommerce websites, or Product Sales to C, such as Rakuten, Amazon and OTTO, where end customers can visit our online stores and purchase directly from us. Regarding Product Sales to B, as expenses charged by these websites are not in exchange for a distinct good or service, the payments to these websites are not recognized as expenses but as recorded net of revenues. With respect to Product Sales to C, expenses incurred for product sales made through these websites are recorded as selling and marketing expenses.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revenues primarily consists of cost of services and cost of product sales. The following table sets forth the breakdown of our cost of revenues, both in absolute amount and as a percentage of our total revenues, for the periods presented: </w:t>
      </w:r>
    </w:p>
    <w:tbl>
      <w:tblPr>
        <w:tblW w:w="8567" w:type="dxa"/>
        <w:jc w:val="left"/>
        <w:tblInd w:w="0" w:type="dxa"/>
        <w:tblLayout w:type="fixed"/>
        <w:tblCellMar>
          <w:top w:w="28" w:type="dxa"/>
          <w:left w:w="28" w:type="dxa"/>
          <w:bottom w:w="28" w:type="dxa"/>
          <w:right w:w="28" w:type="dxa"/>
        </w:tblCellMar>
      </w:tblPr>
      <w:tblGrid>
        <w:gridCol w:w="542"/>
        <w:gridCol w:w="477"/>
        <w:gridCol w:w="480"/>
        <w:gridCol w:w="211"/>
        <w:gridCol w:w="841"/>
        <w:gridCol w:w="109"/>
        <w:gridCol w:w="109"/>
        <w:gridCol w:w="109"/>
        <w:gridCol w:w="109"/>
        <w:gridCol w:w="262"/>
        <w:gridCol w:w="264"/>
        <w:gridCol w:w="109"/>
        <w:gridCol w:w="109"/>
        <w:gridCol w:w="109"/>
        <w:gridCol w:w="109"/>
        <w:gridCol w:w="211"/>
        <w:gridCol w:w="841"/>
        <w:gridCol w:w="109"/>
        <w:gridCol w:w="109"/>
        <w:gridCol w:w="109"/>
        <w:gridCol w:w="109"/>
        <w:gridCol w:w="262"/>
        <w:gridCol w:w="264"/>
        <w:gridCol w:w="109"/>
        <w:gridCol w:w="109"/>
        <w:gridCol w:w="109"/>
        <w:gridCol w:w="109"/>
        <w:gridCol w:w="211"/>
        <w:gridCol w:w="841"/>
        <w:gridCol w:w="109"/>
        <w:gridCol w:w="109"/>
        <w:gridCol w:w="109"/>
        <w:gridCol w:w="109"/>
        <w:gridCol w:w="262"/>
        <w:gridCol w:w="264"/>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for percentages)</w:t>
            </w:r>
          </w:p>
        </w:tc>
      </w:tr>
      <w:tr>
        <w:trPr/>
        <w:tc>
          <w:tcPr>
            <w:tcW w:w="149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239,877 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353,983 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324,600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406,957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515,198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73.2</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primarily consists of domestic delivery costs, an allocated portion of warehouse rental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and costs associated with the operation of the GigaCloud Marketplace.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Sales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sales primarily consists of the purchase price of merchandise, shipping and handling costs for self-owned merchandise, warehouse rental expenses excluding the portion allocated to cost of service revenue and abnormal capacity, packaging fees and personnel related costs. Shipping and handling costs primarily consist of those costs incurred during the process of delivery in North America and markets in other regions, including the expenses attributable to shipment and handling activities, when we deliver a good to a customer.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and Margin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a breakdown of our gross profit and gross profit margin for each of the periods presented: </w:t>
      </w:r>
    </w:p>
    <w:tbl>
      <w:tblPr>
        <w:tblW w:w="5927" w:type="dxa"/>
        <w:jc w:val="center"/>
        <w:tblInd w:w="0" w:type="dxa"/>
        <w:tblLayout w:type="fixed"/>
        <w:tblCellMar>
          <w:top w:w="28" w:type="dxa"/>
          <w:left w:w="28" w:type="dxa"/>
          <w:bottom w:w="28" w:type="dxa"/>
          <w:right w:w="28" w:type="dxa"/>
        </w:tblCellMar>
      </w:tblPr>
      <w:tblGrid>
        <w:gridCol w:w="549"/>
        <w:gridCol w:w="480"/>
        <w:gridCol w:w="485"/>
        <w:gridCol w:w="211"/>
        <w:gridCol w:w="721"/>
        <w:gridCol w:w="271"/>
        <w:gridCol w:w="109"/>
        <w:gridCol w:w="109"/>
        <w:gridCol w:w="109"/>
        <w:gridCol w:w="211"/>
        <w:gridCol w:w="721"/>
        <w:gridCol w:w="271"/>
        <w:gridCol w:w="109"/>
        <w:gridCol w:w="109"/>
        <w:gridCol w:w="109"/>
        <w:gridCol w:w="211"/>
        <w:gridCol w:w="826"/>
        <w:gridCol w:w="316"/>
      </w:tblGrid>
      <w:tr>
        <w:trPr/>
        <w:tc>
          <w:tcPr>
            <w:tcW w:w="5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for percentages) </w:t>
            </w:r>
          </w:p>
        </w:tc>
      </w:tr>
      <w:tr>
        <w:trPr/>
        <w:tc>
          <w:tcPr>
            <w:tcW w:w="151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89,597 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83,114 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188,633 </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selling and marketing expenses, general and administrative expenses, research and development expenses and losses on disposal of property and equipment. The following table sets forth the breakdown of our operating expenses, both in absolute amount and as a percentage of our total revenues, for the periods presented: </w:t>
      </w:r>
    </w:p>
    <w:tbl>
      <w:tblPr>
        <w:tblW w:w="10205" w:type="dxa"/>
        <w:jc w:val="left"/>
        <w:tblInd w:w="0" w:type="dxa"/>
        <w:tblLayout w:type="fixed"/>
        <w:tblCellMar>
          <w:top w:w="28" w:type="dxa"/>
          <w:left w:w="28" w:type="dxa"/>
          <w:bottom w:w="28" w:type="dxa"/>
          <w:right w:w="28" w:type="dxa"/>
        </w:tblCellMar>
      </w:tblPr>
      <w:tblGrid>
        <w:gridCol w:w="1309"/>
        <w:gridCol w:w="1119"/>
        <w:gridCol w:w="1128"/>
        <w:gridCol w:w="211"/>
        <w:gridCol w:w="736"/>
        <w:gridCol w:w="109"/>
        <w:gridCol w:w="109"/>
        <w:gridCol w:w="109"/>
        <w:gridCol w:w="109"/>
        <w:gridCol w:w="263"/>
        <w:gridCol w:w="263"/>
        <w:gridCol w:w="109"/>
        <w:gridCol w:w="109"/>
        <w:gridCol w:w="109"/>
        <w:gridCol w:w="109"/>
        <w:gridCol w:w="211"/>
        <w:gridCol w:w="736"/>
        <w:gridCol w:w="109"/>
        <w:gridCol w:w="109"/>
        <w:gridCol w:w="109"/>
        <w:gridCol w:w="109"/>
        <w:gridCol w:w="210"/>
        <w:gridCol w:w="211"/>
        <w:gridCol w:w="109"/>
        <w:gridCol w:w="109"/>
        <w:gridCol w:w="109"/>
        <w:gridCol w:w="109"/>
        <w:gridCol w:w="211"/>
        <w:gridCol w:w="736"/>
        <w:gridCol w:w="109"/>
        <w:gridCol w:w="109"/>
        <w:gridCol w:w="109"/>
        <w:gridCol w:w="109"/>
        <w:gridCol w:w="263"/>
        <w:gridCol w:w="263"/>
        <w:gridCol w:w="155"/>
      </w:tblGrid>
      <w:tr>
        <w:trPr/>
        <w:tc>
          <w:tcPr>
            <w:tcW w:w="13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for percentages)</w:t>
            </w:r>
          </w:p>
        </w:tc>
      </w:tr>
      <w:tr>
        <w:trPr/>
        <w:tc>
          <w:tcPr>
            <w:tcW w:w="355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disposal of property and equipment</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50,244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48,091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78,555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11.2</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and Marketing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selling and marketing expenses primarily consist of platform service fees charged by third-party ecommerce websites arising from Product sales to C on Off-platform ecommerce channels, advertising expenses, and payroll and related expenses for personnel engaged in selling and marketing activities, and rental and depreciation expenses relating to facilities and equipment used by those employees. Advertising expenses include advertisements through various forms of media and marketing and promotional activities.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breakdown of our selling and marketing expenses, both in absolute amount and as a percentage of our total revenues, for the periods presented: </w:t>
      </w:r>
    </w:p>
    <w:tbl>
      <w:tblPr>
        <w:tblW w:w="9693" w:type="dxa"/>
        <w:jc w:val="left"/>
        <w:tblInd w:w="0" w:type="dxa"/>
        <w:tblLayout w:type="fixed"/>
        <w:tblCellMar>
          <w:top w:w="28" w:type="dxa"/>
          <w:left w:w="28" w:type="dxa"/>
          <w:bottom w:w="28" w:type="dxa"/>
          <w:right w:w="28" w:type="dxa"/>
        </w:tblCellMar>
      </w:tblPr>
      <w:tblGrid>
        <w:gridCol w:w="1178"/>
        <w:gridCol w:w="1036"/>
        <w:gridCol w:w="1041"/>
        <w:gridCol w:w="211"/>
        <w:gridCol w:w="736"/>
        <w:gridCol w:w="109"/>
        <w:gridCol w:w="109"/>
        <w:gridCol w:w="109"/>
        <w:gridCol w:w="109"/>
        <w:gridCol w:w="210"/>
        <w:gridCol w:w="211"/>
        <w:gridCol w:w="109"/>
        <w:gridCol w:w="109"/>
        <w:gridCol w:w="109"/>
        <w:gridCol w:w="109"/>
        <w:gridCol w:w="211"/>
        <w:gridCol w:w="736"/>
        <w:gridCol w:w="109"/>
        <w:gridCol w:w="109"/>
        <w:gridCol w:w="109"/>
        <w:gridCol w:w="109"/>
        <w:gridCol w:w="210"/>
        <w:gridCol w:w="211"/>
        <w:gridCol w:w="109"/>
        <w:gridCol w:w="109"/>
        <w:gridCol w:w="109"/>
        <w:gridCol w:w="109"/>
        <w:gridCol w:w="211"/>
        <w:gridCol w:w="736"/>
        <w:gridCol w:w="109"/>
        <w:gridCol w:w="109"/>
        <w:gridCol w:w="109"/>
        <w:gridCol w:w="109"/>
        <w:gridCol w:w="210"/>
        <w:gridCol w:w="21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for percentages)</w:t>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Selling and marketing expenses</w:t>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Platform service fees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Traveling</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selling and marketing expenses</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25,728</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24,038</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41,386</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primarily consist of share-based compensation, payroll and related costs for employees involved in general corporate functions, rental and depreciation expenses associated with the use of facilities and equipment by these employees, professional fees, and other general corporate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breakdown of our general and administrative expenses, both in absolute amount and as a percentage of our total revenues, for the periods presented: </w:t>
      </w:r>
    </w:p>
    <w:tbl>
      <w:tblPr>
        <w:tblW w:w="10142" w:type="dxa"/>
        <w:jc w:val="left"/>
        <w:tblInd w:w="0" w:type="dxa"/>
        <w:tblLayout w:type="fixed"/>
        <w:tblCellMar>
          <w:top w:w="28" w:type="dxa"/>
          <w:left w:w="28" w:type="dxa"/>
          <w:bottom w:w="28" w:type="dxa"/>
          <w:right w:w="28" w:type="dxa"/>
        </w:tblCellMar>
      </w:tblPr>
      <w:tblGrid>
        <w:gridCol w:w="1342"/>
        <w:gridCol w:w="1180"/>
        <w:gridCol w:w="1182"/>
        <w:gridCol w:w="211"/>
        <w:gridCol w:w="736"/>
        <w:gridCol w:w="109"/>
        <w:gridCol w:w="109"/>
        <w:gridCol w:w="109"/>
        <w:gridCol w:w="109"/>
        <w:gridCol w:w="210"/>
        <w:gridCol w:w="211"/>
        <w:gridCol w:w="109"/>
        <w:gridCol w:w="109"/>
        <w:gridCol w:w="109"/>
        <w:gridCol w:w="109"/>
        <w:gridCol w:w="211"/>
        <w:gridCol w:w="736"/>
        <w:gridCol w:w="109"/>
        <w:gridCol w:w="109"/>
        <w:gridCol w:w="109"/>
        <w:gridCol w:w="109"/>
        <w:gridCol w:w="210"/>
        <w:gridCol w:w="211"/>
        <w:gridCol w:w="109"/>
        <w:gridCol w:w="109"/>
        <w:gridCol w:w="109"/>
        <w:gridCol w:w="109"/>
        <w:gridCol w:w="211"/>
        <w:gridCol w:w="736"/>
        <w:gridCol w:w="109"/>
        <w:gridCol w:w="109"/>
        <w:gridCol w:w="109"/>
        <w:gridCol w:w="109"/>
        <w:gridCol w:w="210"/>
        <w:gridCol w:w="21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4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43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for percentages)</w:t>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5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Rental and depreciation</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supplies and utility</w:t>
            </w:r>
          </w:p>
        </w:tc>
        <w:tc>
          <w:tcPr>
            <w:tcW w:w="105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general and administrative expenses</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24,516</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22,627</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30,008</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IT- and platform-related personnel costs, including share-based compensation expense associated with our engineering, programming, data analytics, and product development personnel responsible for the design, development, and testing of our platform, rental and depreciation expenses associated with the use of facilities and equipment of research and development personnel, and information technology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Losses on Disposal of Property and Equipment</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losses on disposal of property and equipment primarily consist of the losses on the disposal of old and obsolete property and equipment.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expense primarily consists of our financial lease interest expense for warehouses and facilities in the U.S.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income primarily consists of interest income from bank deposits.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Gains (Losses), Net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foreign exchange gains and losses represent the gains or losses due to appreciation or depreciation of the U.S. dollar against Japanese Yen, the Euro, Canadian dollar and the British Pound.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 Grants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income from government grants primarily consists of industry related government subsidies.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Expense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expense primarily consists of current tax expense, deferred tax expense and uncertain tax positions, primarily related to uncertainty of our subsidiaries and any former consolidated VIEs in mainland China with regard to the tax impact of transfer pricing adjustments.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Taxation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Cayman Islands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current laws of the Cayman Islands, we are not subject to tax on income or capital gain. Additionally, the Cayman Islands does not impose a withholding tax on payments of dividends to shareholders.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Hong Kong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current Hong Kong S.A.R. Inland Revenue Ordinance, our subsidiary in Hong Kong S.A.R. is subject to Hong Kong S.A.R. profits tax at the rate of 16.5% on its taxable income generated from the operations in Hong Kong S.A.R. The first HK$2 million of assessable profits earned by a company will be taxed at 8.25% whilst the remaining profits will continue to be taxed at 16.5%. There is an anti-fragmentation measure where each group will have to nominate only one company in the group to benefit from the progressive rates.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Inland Revenue (Amendment) (Taxation on Specified Foreign-sourced income) Bill 2022, or the new FSIE regime, has been enacted in Hong Kong on December 14, 2022 and will have effect from January 1, 2023 onwards. This is to address the EU’s inclusion of Hong Kong in the “grey list” in concern of any risk of double non-taxation arising from the tax exemption of offshore passive income for companies in Hong Kong without substantial economic substance. From January 1, 2023, offshore passive income (including interest income, dividend income or gain on disposal of equity interest (where applicable)), that is received or deemed to be received in Hong Kong (i.e., identical to the “received” concept in Singapore), would need to meet additional requirements, including, amongst others, the economic substance requirements (i.e. similar to offshore jurisdictions like Cayman Islands, British Virgin Islands, etc.) in order to continue to be entitled to the offshore income tax exemption in Hong Kong.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Mainland China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PRC Enterprise Income Tax Law, domestic companies are subject to enterprise income tax at a uniform rate of 25%. Our PRC Subsidiaries are subject to the statutory income tax rate at 25%, unless a preferential enterprise income tax rate is otherwise stipulated.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On December 24, 2019, our wholly-owned subsidiary, GigaCloud Technology (Suzhou) Co., Ltd. (formerly known as Oriental Standard Network Technology (Suzhou) Co., Ltd.), or GigaCloud Suzhou, obtained a certificate from related authorities of local government for “Advanced Technology Service Enterprise”, or ATSE, qualification. This certificate entitled GigaCloud Technology (Suzhou) Co., Ltd. to enjoy a preferential income tax rate of 15% for a period of three years from 2020 to 2022 if all the criteria for ATSE status could be satisfied in the relevant years. Subsequently, GigaCloud Suzhou renewed and obtained the ATSE certificate in early 2023, which entitles GigaCloud Suzhou to the preferential tax rate of 15% from 2022 to 2024 if all the criteria for ATSE status could be satisfied in the relevant year.</w:t>
      </w:r>
      <w:r>
        <w:rPr>
          <w:color w:val="000000"/>
        </w:rPr>
        <w:t xml:space="preser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PRC Enterprise Income Tax Law and its implementation rules, an enterprise established outside China with a “place of effective management” within China is considered a China resident enterprise for Chinese enterprise income tax purposes. A China resident enterprise is generally subject to certain Chinese tax reporting obligations and a uniform 25% enterprise income tax rate on its worldwide income. The implementation rules to the PRC Enterprise Income Tax Law provide that non-resident legal entities are considered PRC residents if substantial and overall management and control over the manufacturing and business operations, personnel, accounting, properties, etc., of an enterprise occur within mainland China. Despite the present uncertainties resulting from the limited PRC tax guidance on the issue, we do not believe that the legal entities organized outside the PRC should be treated as residents for the purposes of the PRC Enterprise Income Tax Law. If the PRC tax authorities subsequently determine that our company and our subsidiaries registered outside the PRC are deemed resident enterprises, our company and our subsidiaries registered outside of mainland China will be subject to the PRC income tax at a rate of 25%.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paid to non-PRC resident corporate investors from profits earned by our PRC Subsidiaries after January 1, 2008 would be subject to a withholding tax. The PRC Enterprise Income Tax Law and its relevant regulations impose a withholding tax at 10%, unless reduced by a tax treaty or agreement, for dividends distributed by a PRC resident enterprise to its non-PRC resident corporate investors for earnings generated beginning on January 1, 2008. As of December 31, 2021, 2022 and 2023, earnings from all foreign subsidiaries and VIEs will be indefinitely reinvested. Hence, our Group has not provided for deferred tax liabilities on undistributed earnings for PRC subsidiaries.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Germany</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Under the current laws of Germany, our German subsidiaries are subject to income tax at a standard rate of 15% (15.825% including solidarity surcharge), plus municipal trade tax of 14%-17%.</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 Federal Income Taxation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U.S. subsidiaries are subject to U.S. federal income taxes and state and local income taxes. In connection with the U.S. tax legislation enacted in December 2017, the federal income tax rate for corporations changed to 21% beginning from January 1, 2018, while state income tax rates generally remained the same as in previous years. The U.S. federal income tax rules also provide for enhanced accelerated depreciation deduction by allowing the election of full expensing of qualified property, primarily equipment, through 2023. In 2023, the enhanced accelerated depreciation deduction decreased to 80% and will continue to decrease by 20% per year thereafter until complete phase out.</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received from U.S. corporation are U.S. source and would be subject to 30% withholding tax, unless reduced by a tax treaty or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our consolidated results of operations, both in absolute amount and as a percentage of our total revenues, for the periods presented. This information should be read together with our consolidated financial statements and related notes included elsewhere in this annual report. The results of operations in any period are not necessarily indicative of our future trends.</w:t>
      </w:r>
    </w:p>
    <w:tbl>
      <w:tblPr>
        <w:tblW w:w="10205" w:type="dxa"/>
        <w:jc w:val="left"/>
        <w:tblInd w:w="0" w:type="dxa"/>
        <w:tblLayout w:type="fixed"/>
        <w:tblCellMar>
          <w:top w:w="28" w:type="dxa"/>
          <w:left w:w="28" w:type="dxa"/>
          <w:bottom w:w="28" w:type="dxa"/>
          <w:right w:w="28" w:type="dxa"/>
        </w:tblCellMar>
      </w:tblPr>
      <w:tblGrid>
        <w:gridCol w:w="1154"/>
        <w:gridCol w:w="898"/>
        <w:gridCol w:w="903"/>
        <w:gridCol w:w="211"/>
        <w:gridCol w:w="736"/>
        <w:gridCol w:w="109"/>
        <w:gridCol w:w="109"/>
        <w:gridCol w:w="109"/>
        <w:gridCol w:w="109"/>
        <w:gridCol w:w="314"/>
        <w:gridCol w:w="317"/>
        <w:gridCol w:w="109"/>
        <w:gridCol w:w="109"/>
        <w:gridCol w:w="109"/>
        <w:gridCol w:w="109"/>
        <w:gridCol w:w="211"/>
        <w:gridCol w:w="826"/>
        <w:gridCol w:w="109"/>
        <w:gridCol w:w="109"/>
        <w:gridCol w:w="109"/>
        <w:gridCol w:w="109"/>
        <w:gridCol w:w="314"/>
        <w:gridCol w:w="317"/>
        <w:gridCol w:w="109"/>
        <w:gridCol w:w="109"/>
        <w:gridCol w:w="109"/>
        <w:gridCol w:w="109"/>
        <w:gridCol w:w="211"/>
        <w:gridCol w:w="826"/>
        <w:gridCol w:w="109"/>
        <w:gridCol w:w="109"/>
        <w:gridCol w:w="109"/>
        <w:gridCol w:w="109"/>
        <w:gridCol w:w="314"/>
        <w:gridCol w:w="317"/>
        <w:gridCol w:w="156"/>
      </w:tblGrid>
      <w:tr>
        <w:trPr/>
        <w:tc>
          <w:tcPr>
            <w:tcW w:w="11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25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0" w:type="dxa"/>
            <w:gridSpan w:val="3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 except for percentages)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324,600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406,957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89,597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188,633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disposal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48,091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78,555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39,353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35,023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110,078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gains (losses),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37,725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114,995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23,972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2023 Compared to Year Ended December 31, 2022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which primarily consist of service revenues generated from GigaCloud 3P and product revenues generated from GigaCloud 1P and off-platform ecommerce sales, increased by 43.6% from $490.1 million in 2022 to $703.8 million in 2023. This increase was primarily due to the increased market recognition and scale of our GigaCloud Marketplace, leading to increases in our GigaCloud Marketplace GMV, sales volume and number of sellers and buyers.</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Service Revenues from GigaCloud 3P</w:t>
      </w:r>
      <w:r>
        <w:rPr>
          <w:rFonts w:ascii="Times New Roman;sans-serif" w:hAnsi="Times New Roman;sans-serif"/>
          <w:b w:val="false"/>
          <w:color w:val="000000"/>
          <w:sz w:val="20"/>
        </w:rPr>
        <w:t xml:space="preserve">. Our service revenues increased by 41.7% from $140.6 million in 2022 to $199.2 million in 2023. The increase was attributable to (i) an increase in revenues from last mile delivery services by 69.1% from $62.7 million in 2022 to $106.0 million in 2023 as our GigaCloud Marketplace GMV and delivery volume continued to increase, (ii) an increase in revenues from packaging service by 124.7% from $7.7 million in 2022 to $17.3 million in 2023, which was consistent with the increase in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605" cy="14605"/>
                <wp:effectExtent l="0" t="0" r="0" b="0"/>
                <wp:wrapNone/>
                <wp:docPr id="105" name="Frame9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and (iii) an increase in revenues from other services by 126.4% from $9.1 million in 2022 to $20.6 million in 2023. These increases were partially offset by a decrease in revenues from ocean transportation services by 48.2% from $38.0 million in 2022 to $19.7 million in 2023, primarily due to the decrease in the pricing of ocean transportation services in 2023.</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Product Revenues from GigaCloud 1P.</w:t>
      </w:r>
      <w:r>
        <w:rPr>
          <w:color w:val="000000"/>
        </w:rPr>
        <w:t xml:space="preserve"> </w:t>
      </w:r>
      <w:r>
        <w:rPr>
          <w:rFonts w:ascii="Times New Roman;sans-serif" w:hAnsi="Times New Roman;sans-serif"/>
          <w:b w:val="false"/>
          <w:color w:val="000000"/>
          <w:sz w:val="20"/>
        </w:rPr>
        <w:t>Our product revenues from GigaCloud 1P increased by 29.4% from $231.7 million in 2022 to $299.9 million in 2023. The increase was primarily due to increases in the number of buyers and spend per active buyer as our marketplace continued to grow in scale.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Product Revenues from Off-platform Ecommerce.</w:t>
      </w:r>
      <w:r>
        <w:rPr>
          <w:color w:val="000000"/>
        </w:rPr>
        <w:t xml:space="preserve"> </w:t>
      </w:r>
      <w:r>
        <w:rPr>
          <w:rFonts w:ascii="Times New Roman;sans-serif" w:hAnsi="Times New Roman;sans-serif"/>
          <w:b w:val="false"/>
          <w:color w:val="000000"/>
          <w:sz w:val="20"/>
        </w:rPr>
        <w:t xml:space="preserve">Our product revenues from off-platform ecommerce increased by 73.7% from $117.8 million in 2022 to $204.6 million in 2023. The increase was primarily due to increases in sales channels and sales volume in certain third-party off-platform ecommerce.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cost of revenues increased by 26.6% from $407.0 million in 2022 to $515.2 million in 2023.</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cost of services increased by 34.2% from $120.1 million in 2022 to $161.2 million in 2023, primarily due to an increase in delivery cost by 25.1% from $97.1 million in 2022 to $121.5 million in 2023, consistent with the increase in our sales, an increase in staff cost by 154.0% from $5.0 million in 2022 to $12.7 million in 2023 as the number of staff in warehouses and operations increased, and an increase in rental cost by 41.4% from $15.2 million in 2022 to $21.5 million in 2023 as we increased the number of warehouses to 33 globally in 2023.</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cost of product sales increased by 23.4% from $286.9 million in 2022 to $354.0 million in 2023, primarily due to an increase in product cost by 22.3% from $219.7 million in 2022 to $268.8 million in 2023, an increase in delivery cost by 29.7% from $33.3 million in 2022 to $43.2 million in 2023 consistent with the increase in our product revenues, and an increase in rental cost by 20.4% from $20.6 million in 2022 to $24.8 million in 2023, as we increased the number of warehouses to 33 globally in 2023.</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Profit and Gross Margin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our gross profit increased by 127.0% from $83.1 million in 2022 to $188.6 million in 2023. Our gross margin increased from 17.0% in 2022 to 26.8% in 2023, primarily due to a slower rate of costs increase, particularly considering the decrease in ocean freight costs in 2023.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and Marketing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selling and marketing expenses increased by 72.5% from $24.0 million in 2022 to $41.4 million in 2023, which was primarily due to an increase in platform service fee we incurred on certain third-party ecommerce websites by 82.3% from $9.6 million in 2022 to $17.5 million in 2023 as sales volume and sales channels both increased, an increase in staff cost related to selling and marketing personnel by 53.7% from $12.1 million in 2022 to $18.6 million in 2023 as we increased the number of sales and marketing personnel and the commission paid to them, and an increase in advertising expense by 160.0% from $1.5 million in 2022 to $3.9 million in 2023.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increased by 32.7% from $22.6 million in 2022 to $30.0 million in 2023, which was primarily due to an increase in professional service expense by 150.0% from $3.0 million in 2022 to $7.5 million in 2023 as we engaged professional services for our financial and legal advisors in 2023, and an increase in rental expense by 314.3% from $0.7 million in 2022 to $2.9 million in 2023, primarily due to fees related to certain vacated warehouses were included in general and administrative expenses instead of cost of revenues in 2023, and the upgrade of our corporate offices.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178.6% from $1.4 million in 2022 to $3.9 million in 2022. The increase was primarily due to our dedication in expanding our research and development efforts, including an increase in the number of research and development projects and the number of employees to perform research and development function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605" cy="14605"/>
                <wp:effectExtent l="0" t="0" r="0" b="0"/>
                <wp:wrapNone/>
                <wp:docPr id="106" name="Frame9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Losses on Disposal of Property and Equipment</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had losses on disposal of property and equipment of $3.2 million in 2023, primarily attributable to disposal of old and obsolete property and equipment. We did not incur such losses in 2022.</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interest expenses of $568 thousand in 2022 and $1.2 million in 2023. The increase was primarily attributable to increase in our financial lease interest expense for warehouses in the U.S.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Income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interest income of $472 thousand in 2022 and $3.3 million in 2023. The increase was primarily attributable to higher average bank deposits and interest rates in 2023. </w:t>
      </w:r>
    </w:p>
    <w:p>
      <w:pPr>
        <w:pStyle w:val="TextBody"/>
        <w:bidi w:val="0"/>
        <w:spacing w:lineRule="auto" w:line="288" w:before="360" w:after="283"/>
        <w:jc w:val="left"/>
        <w:rPr/>
      </w:pPr>
      <w:r>
        <w:rPr>
          <w:rFonts w:ascii="Times New Roman;sans-serif" w:hAnsi="Times New Roman;sans-serif"/>
          <w:b w:val="false"/>
          <w:i/>
          <w:color w:val="000000"/>
          <w:sz w:val="20"/>
        </w:rPr>
        <w:t>Foreign Currency Exchange Gains / (Losses), Net</w:t>
      </w:r>
      <w:r>
        <w:rPr>
          <w:color w:val="000000"/>
        </w:rPr>
        <w:t xml:space="preserv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had foreign currency exchange losses, net of $4.9 million in 2022 and foreign currency exchange gains, net of $2.1 million in 2023, primarily attributable to the appreciation of the U.S. dollar against Japanese Yen, the Euro and the British Pound in 2023, as compared to depreciation in 2022.</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Government Grants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had government grants of $1.1 million in 2022 and $0.9 million in 2023, primarily attributable to industry related government subsidies that we received in 2023.</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had income tax expense of $7.2 million in 2022 and $20.9 million in 2023. The increase was primarily attributable to an increase in our income before taxes from $31.2 million in 2022 to $115.0 million in 2023.</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Net Income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our net income was $24.0 million in 2022 and $94.1 million in 2023. </w:t>
      </w:r>
    </w:p>
    <w:p>
      <w:pPr>
        <w:pStyle w:val="TextBody"/>
        <w:bidi w:val="0"/>
        <w:spacing w:before="120" w:after="283"/>
        <w:ind w:left="0" w:right="0" w:firstLine="1102"/>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2022 Compared to Year Ended December 31, 2021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which consist of service revenues generated from GigaCloud 3P and product revenues generated from GigaCloud 1P and off-platform ecommerce sales, increased by 18.3% from $414.2 million in 2021 to $490.1 million in 2022. This increase was primarily due to an increase in service revenues from GigaCloud 3P and product revenues from GigaCloud 1P, and partially offset by a decrease in product revenues from off-platform ecommerce.</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Service Revenues from GigaCloud 3P</w:t>
      </w:r>
      <w:r>
        <w:rPr>
          <w:rFonts w:ascii="Times New Roman;sans-serif" w:hAnsi="Times New Roman;sans-serif"/>
          <w:b w:val="false"/>
          <w:color w:val="000000"/>
          <w:sz w:val="20"/>
        </w:rPr>
        <w:t>. Our service revenues increased by 43.0% from $98.3 million in 2021 to $140.6 million in 2022. The increase was attributable to (i) increase in revenues from last mile delivery services by 86.2% from $33.7 million in 2021 to $62.7 million in 2022 due to increases in the provision of third-party logistics services to certain existing and new customers and (ii) increase in sales generated from warehousing services by 54.7% from $10.5 million in 2021 to $16.2 million in 2022 due to increase in the number of warehouses from 19 in 2021 to 21 in 2022.</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Product Revenues from GigaCloud 1P.</w:t>
      </w:r>
      <w:r>
        <w:rPr>
          <w:color w:val="000000"/>
        </w:rPr>
        <w:t xml:space="preserve"> </w:t>
      </w:r>
      <w:r>
        <w:rPr>
          <w:rFonts w:ascii="Times New Roman;sans-serif" w:hAnsi="Times New Roman;sans-serif"/>
          <w:b w:val="false"/>
          <w:color w:val="000000"/>
          <w:sz w:val="20"/>
        </w:rPr>
        <w:t>Our product revenues from GigaCloud 1P increased by 23.1% from $188.3 million in 2021 to $231.7 million in 2022. The increase was primarily due to an increase in the number of active buyers from 3,566 in 2021 to 4,156 in 2022 and better selection of products catering to buyers’ preference leading to an increase in spend per active buyer from $116,150 in 2021 to $124,692 in 2022.</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i/>
          <w:color w:val="000000"/>
          <w:sz w:val="20"/>
        </w:rPr>
        <w:t>Product Revenues from Off-platform Ecommerce.</w:t>
      </w:r>
      <w:r>
        <w:rPr>
          <w:color w:val="000000"/>
        </w:rPr>
        <w:t xml:space="preserve"> </w:t>
      </w:r>
      <w:r>
        <w:rPr>
          <w:rFonts w:ascii="Times New Roman;sans-serif" w:hAnsi="Times New Roman;sans-serif"/>
          <w:b w:val="false"/>
          <w:color w:val="000000"/>
          <w:sz w:val="20"/>
        </w:rPr>
        <w:t xml:space="preserve">Our product revenues from off-platform ecommerce decreased by 7.7% from $127.6 million in 2021 to $117.8 million in 2022. The decrease was primarily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overall decrease in sales on certain third-party off-platform ecommerce as consumer demand slowed down over the full year of 2022.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cost of revenues increased by 25.4% from 324.6 million in 2021 to $407.0 million in 2022, primarily attributable to the overall increase in our revenue, as well as an increases in product cost, delivery cost and warehouse cost.</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Our cost of services increased by 41.8% from 84.7 million in 2021 to $120.1 million in 2022, primarily due to (i) increase in last mile delivery cost by 89.1% from $30.4 million in 2021 to $57.5 million in 2022 due to an increase in the deliveries of merchandise that we handled from and to sellers and buyers in our marketplace, and (ii) increases in rental costs of the portion allocated to our 3P business by 77.9% from $8.5 million in 2021 to $15.2 million in 2022 as we increased the number of warehouses from 19 in 2021 to 21 in 2022.</w:t>
      </w:r>
    </w:p>
    <w:p>
      <w:pPr>
        <w:pStyle w:val="TextBody"/>
        <w:bidi w:val="0"/>
        <w:spacing w:lineRule="auto" w:line="288" w:before="120" w:after="283"/>
        <w:ind w:left="0" w:right="0" w:hanging="576"/>
        <w:jc w:val="left"/>
        <w:rPr/>
      </w:pPr>
      <w:r>
        <w:rPr>
          <w:color w:val="000000"/>
        </w:rPr>
        <w:t>•</w:t>
      </w:r>
      <w:r>
        <w:rPr>
          <w:rFonts w:ascii="Times New Roman;sans-serif" w:hAnsi="Times New Roman;sans-serif"/>
          <w:b w:val="false"/>
          <w:color w:val="000000"/>
          <w:sz w:val="20"/>
        </w:rPr>
        <w:t xml:space="preserve">Our cost of product sales increased by 19.6% from $239.9 million in 2021 to $286.9 million in 2022, primarily due to (i) increase in product costs by 22.8% from $179.0 million in 2021 to $219.7 million in 2022 as we increased our GigaCloud 1P sales and (ii) increase in rental costs of warehouses that were allocated to 1P products.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Profit and Gross Margin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our gross profit decreased by 7.2% from $89.6 million in 2021 to $83.1 million in 2022. Our gross margin decreased from 21.6% in 2021 to 17.0% in 2022, primarily due to the fact that the cost of revenue increased at a faster pace than revenue, as shipping and handling costs, particularly ocean freight costs, increased significantly compared to the previous period.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and Marketing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selling and marketing expenses decreased by 6.6% from $25.7 million in 2021 to $24.0 million in 2022, which was mainly due to (i) a decrease in platform service fees we paid to certain third-party ecommerce websites from $11.0 million in 2021 to $9.6 million in 2022, (ii) a decrease in staff cost, including shared-based compensation expenses, related to selling and marketing personnel from $12.2 million in 2021 to $12.1 million in 2022, as well as (iii) a decrease in advertising expense on certain third-party ecommerce websites from $1.9 million in 2021 to $1.5 million in 2022.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decreased by 7.7% from $24.5 million in 2021 to $22.6 million in 2022, which was mainly due to (i) decrease in professional service expense from $4.9 million in 2021 to $3.0 million in 2022 and (ii) decrease in staff costs, including share-based compensation expenses, related to general and administration personnel from $15.7 million in 2021 to $15.0 million in 2022.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$1.4 million in 2022, while we did not have research and development expenses in 2021. The change was primarily due to system wide technological upgrades in our GigaCloud Marketplace to support our growth.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interest expenses of $309 thousand in 2021 and $568 thousand in 2022. The increase was primarily attributable to the increase in our financial lease interest expense for warehouses in the U.S. </w:t>
      </w:r>
    </w:p>
    <w:p>
      <w:pPr>
        <w:pStyle w:val="TextBody"/>
        <w:bidi w:val="0"/>
        <w:spacing w:lineRule="auto" w:line="288" w:before="360" w:after="283"/>
        <w:jc w:val="left"/>
        <w:rPr/>
      </w:pPr>
      <w:r>
        <w:rPr>
          <w:rFonts w:ascii="Times New Roman;sans-serif" w:hAnsi="Times New Roman;sans-serif"/>
          <w:b w:val="false"/>
          <w:i/>
          <w:color w:val="000000"/>
          <w:sz w:val="20"/>
        </w:rPr>
        <w:t>Interest Income</w:t>
      </w:r>
      <w:r>
        <w:rPr>
          <w:color w:val="000000"/>
        </w:rPr>
        <w:t xml:space="preserv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interest income of $537 thousand in 2021 and $472 thousand in 2022. The decrease was primarily attributable to a decrease in interests collected from accounts receivable overdue.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Exchange Gains / (Losses), Net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foreign currency exchange losses, net of $2.0 million in 2021 and $4.9 million in 2022, primarily attributable to appreciation of the U.S. dollar against the British Pound, Euro and the Japanese Yen. </w:t>
      </w:r>
    </w:p>
    <w:p>
      <w:pPr>
        <w:pStyle w:val="TextBody"/>
        <w:bidi w:val="0"/>
        <w:spacing w:lineRule="auto" w:line="288" w:before="360" w:after="283"/>
        <w:jc w:val="left"/>
        <w:rPr/>
      </w:pPr>
      <w:r>
        <w:rPr>
          <w:rFonts w:ascii="Times New Roman;sans-serif" w:hAnsi="Times New Roman;sans-serif"/>
          <w:b w:val="false"/>
          <w:i/>
          <w:color w:val="000000"/>
          <w:sz w:val="20"/>
        </w:rPr>
        <w:t>Government Grant</w:t>
      </w:r>
      <w:r>
        <w:rPr>
          <w:color w:val="000000"/>
        </w:rPr>
        <w:t xml:space="preserv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government grant of nil in 2021 and $1.1 million in 2022, primarily attributable to industry related government subsidies that we received in 2022.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income tax expense of $8.5 million in 2021 and $7.2 million in 2022. The decrease was primarily attributable to a decrease in our income before income taxes from $37.7 million in 2021 to $31.2 million in 2022. </w:t>
      </w:r>
    </w:p>
    <w:p>
      <w:pPr>
        <w:pStyle w:val="TextBody"/>
        <w:bidi w:val="0"/>
        <w:spacing w:lineRule="auto" w:line="288" w:before="360" w:after="283"/>
        <w:jc w:val="left"/>
        <w:rPr/>
      </w:pPr>
      <w:r>
        <w:rPr>
          <w:rFonts w:ascii="Times New Roman;sans-serif" w:hAnsi="Times New Roman;sans-serif"/>
          <w:b w:val="false"/>
          <w:i/>
          <w:color w:val="000000"/>
          <w:sz w:val="20"/>
        </w:rPr>
        <w:t>Net Income</w:t>
      </w:r>
      <w:r>
        <w:rPr>
          <w:color w:val="000000"/>
        </w:rPr>
        <w:t xml:space="preserv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our net income was $29.3 million in 2021 and $24.0 million in 2022.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Segment Information for Fiscal Years 2021, 2022 and 2023</w:t>
      </w:r>
    </w:p>
    <w:p>
      <w:pPr>
        <w:pStyle w:val="TextBody"/>
        <w:bidi w:val="0"/>
        <w:spacing w:before="0" w:after="0"/>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 of internal reporting and management's operation review, we do not segregate our business by revenue stream or geography. Our management has determined that our company has one operating segment. See Note 2, Segment Reporting, in the notes to the consolidated financial statements included elsewhere in this annual report.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and operating lease right-of-use assets. The geographic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for long-lived assets as of December 31, 2022 and 2023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before="0" w:after="0"/>
        <w:ind w:left="0" w:right="0" w:firstLine="1102"/>
        <w:jc w:val="left"/>
        <w:rPr/>
      </w:pPr>
      <w:r>
        <w:rPr/>
      </w:r>
    </w:p>
    <w:tbl>
      <w:tblPr>
        <w:tblW w:w="6086" w:type="dxa"/>
        <w:jc w:val="left"/>
        <w:tblInd w:w="0" w:type="dxa"/>
        <w:tblLayout w:type="fixed"/>
        <w:tblCellMar>
          <w:top w:w="28" w:type="dxa"/>
          <w:left w:w="28" w:type="dxa"/>
          <w:bottom w:w="28" w:type="dxa"/>
          <w:right w:w="28" w:type="dxa"/>
        </w:tblCellMar>
      </w:tblPr>
      <w:tblGrid>
        <w:gridCol w:w="728"/>
        <w:gridCol w:w="639"/>
        <w:gridCol w:w="642"/>
        <w:gridCol w:w="211"/>
        <w:gridCol w:w="736"/>
        <w:gridCol w:w="109"/>
        <w:gridCol w:w="109"/>
        <w:gridCol w:w="109"/>
        <w:gridCol w:w="109"/>
        <w:gridCol w:w="211"/>
        <w:gridCol w:w="841"/>
        <w:gridCol w:w="109"/>
        <w:gridCol w:w="109"/>
        <w:gridCol w:w="109"/>
        <w:gridCol w:w="109"/>
        <w:gridCol w:w="211"/>
        <w:gridCol w:w="84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11,075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157,221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423,536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reported are attributed to geographic areas based on locations of our warehouses, except for platform commission revenues which are attributed to Hong Kong, where the server of GigaCloud Marketplace is located. Revenues by geography for the years ended December 31, 2021, 2022 and 2023 is as follows: </w:t>
      </w:r>
    </w:p>
    <w:p>
      <w:pPr>
        <w:pStyle w:val="TextBody"/>
        <w:bidi w:val="0"/>
        <w:spacing w:before="0" w:after="0"/>
        <w:ind w:left="0" w:right="0" w:firstLine="1102"/>
        <w:jc w:val="left"/>
        <w:rPr/>
      </w:pPr>
      <w:r>
        <w:rPr/>
      </w:r>
    </w:p>
    <w:tbl>
      <w:tblPr>
        <w:tblW w:w="7016" w:type="dxa"/>
        <w:jc w:val="left"/>
        <w:tblInd w:w="0" w:type="dxa"/>
        <w:tblLayout w:type="fixed"/>
        <w:tblCellMar>
          <w:top w:w="28" w:type="dxa"/>
          <w:left w:w="28" w:type="dxa"/>
          <w:bottom w:w="28" w:type="dxa"/>
          <w:right w:w="28" w:type="dxa"/>
        </w:tblCellMar>
      </w:tblPr>
      <w:tblGrid>
        <w:gridCol w:w="1025"/>
        <w:gridCol w:w="902"/>
        <w:gridCol w:w="907"/>
        <w:gridCol w:w="211"/>
        <w:gridCol w:w="841"/>
        <w:gridCol w:w="109"/>
        <w:gridCol w:w="109"/>
        <w:gridCol w:w="109"/>
        <w:gridCol w:w="109"/>
        <w:gridCol w:w="211"/>
        <w:gridCol w:w="841"/>
        <w:gridCol w:w="109"/>
        <w:gridCol w:w="109"/>
        <w:gridCol w:w="109"/>
        <w:gridCol w:w="109"/>
        <w:gridCol w:w="211"/>
        <w:gridCol w:w="84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 by geographic region:</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Service revenues: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Platform commission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Ocean transportation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19,703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Warehousing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24,423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Last-mile delivery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105,978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Packaging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17,296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20,597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Product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315,865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349,443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504,647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No other individual region's revenues exceeded 10% of the Company's total revenues for the years ended December 31, 2021, 2022 and 2023.</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Non-GAAP Financial Measure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consolidated financial statements, which are prepared and presented in accordance with U.S. GAAP, we use Adjusted EBITDA, which is net income excluding interest, income taxes and depreciation, further adjusted to exclude share-based compensation expenses, a non-GAAP financial measure, to understand and evaluate our core operating performance. Non-GAAP financial measures, which may differ from similarly titled measures used by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companies, are presented to enhance investors’ overall understanding of our financial performance and should not be considered a substitute for, or superior to, the financial information prepared and presented in accordance with U.S. GAAP. The table below sets forth a reconciliation of Adjusted EBITDA from net income for the periods indicated:</w:t>
      </w:r>
    </w:p>
    <w:tbl>
      <w:tblPr>
        <w:tblW w:w="7407" w:type="dxa"/>
        <w:jc w:val="center"/>
        <w:tblInd w:w="0" w:type="dxa"/>
        <w:tblLayout w:type="fixed"/>
        <w:tblCellMar>
          <w:top w:w="28" w:type="dxa"/>
          <w:left w:w="28" w:type="dxa"/>
          <w:bottom w:w="28" w:type="dxa"/>
          <w:right w:w="28" w:type="dxa"/>
        </w:tblCellMar>
      </w:tblPr>
      <w:tblGrid>
        <w:gridCol w:w="1243"/>
        <w:gridCol w:w="1091"/>
        <w:gridCol w:w="1101"/>
        <w:gridCol w:w="211"/>
        <w:gridCol w:w="736"/>
        <w:gridCol w:w="109"/>
        <w:gridCol w:w="109"/>
        <w:gridCol w:w="109"/>
        <w:gridCol w:w="109"/>
        <w:gridCol w:w="211"/>
        <w:gridCol w:w="736"/>
        <w:gridCol w:w="109"/>
        <w:gridCol w:w="109"/>
        <w:gridCol w:w="109"/>
        <w:gridCol w:w="109"/>
        <w:gridCol w:w="211"/>
        <w:gridCol w:w="84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For the Year Ended December 31,</w:t>
            </w:r>
            <w:r>
              <w:rPr>
                <w:color w:val="000000"/>
              </w:rPr>
              <w:t xml:space="preserve"> </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ans-serif" w:hAnsi="Times New Roman;sans-serif"/>
                <w:b/>
                <w:color w:val="000000"/>
                <w:sz w:val="16"/>
              </w:rPr>
              <w:t>(In thousands)</w:t>
            </w:r>
            <w:r>
              <w:rPr>
                <w:color w:val="000000"/>
              </w:rPr>
              <w:t xml:space="preserve"> </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94,108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Share-based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41,842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118,307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operating and investing activities mainly through cash generated from our business. As of December 31, 2023, we had $183.3 million in cash and $0.89 million in restricted cash.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entered into a two-year credit facility agreement with Wells Fargo Bank, National Association, under which we are able to borrow up to $50 million during the term of the facility. The credit facility also requires us to comply with various customary covenants and other restrictions. As of the date of this annual report, we have not made any draw down from this credit facility.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we have on hand, we may seek to issue equity or equity-linked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 </w:t>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Prior to completion of our corporate restructuring, we consolidated the results of our consolidated VIEs but we only had access to the assets or earnings of our consolidated VIEs through our contractual arrangements with our consolidated VIEs and their shareholders (as applicable). As of the date of this annual report, we have completed our corporate restructure and our corporate structure does not contain any VIEs. For restrictions and limitations on liquidity and capital resources as a result of our corporate structure, see “—Holding Company Structure.”</w:t>
      </w:r>
      <w:r>
        <w:rPr>
          <w:color w:val="000000"/>
        </w:rPr>
        <w:t xml:space="preser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Cayman Islands exempted company and offshore holding company, we are permitted under PRC laws and regulations to provide funding to our PRC Subsidiaries only through loans or capital contributions, subject to relevant approval, filing and/or reporting with respect to government authorities and limits on the amount of capital contributions and loans. This may delay us from making loans or capital contributions to our PRC Subsidiaries, if any. See “Item 1A. Risk Factors—Risks Related to Doing Business in China—PRC regulation of loans to, and direct investments in, PRC entities by offshore holding companies and governmental control of currency conversion may restrict or prevent us to make loans or additional capital contributions to our PRC Subsidiaries, which could materially and adversely affect our liquidity and our ability to fund and expand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our cash flows for the periods presented:</w:t>
      </w:r>
    </w:p>
    <w:tbl>
      <w:tblPr>
        <w:tblW w:w="10205" w:type="dxa"/>
        <w:jc w:val="center"/>
        <w:tblInd w:w="0" w:type="dxa"/>
        <w:tblLayout w:type="fixed"/>
        <w:tblCellMar>
          <w:top w:w="28" w:type="dxa"/>
          <w:left w:w="28" w:type="dxa"/>
          <w:bottom w:w="28" w:type="dxa"/>
          <w:right w:w="28" w:type="dxa"/>
        </w:tblCellMar>
      </w:tblPr>
      <w:tblGrid>
        <w:gridCol w:w="2233"/>
        <w:gridCol w:w="1964"/>
        <w:gridCol w:w="1975"/>
        <w:gridCol w:w="211"/>
        <w:gridCol w:w="721"/>
        <w:gridCol w:w="109"/>
        <w:gridCol w:w="109"/>
        <w:gridCol w:w="109"/>
        <w:gridCol w:w="109"/>
        <w:gridCol w:w="211"/>
        <w:gridCol w:w="826"/>
        <w:gridCol w:w="109"/>
        <w:gridCol w:w="109"/>
        <w:gridCol w:w="109"/>
        <w:gridCol w:w="109"/>
        <w:gridCol w:w="211"/>
        <w:gridCol w:w="826"/>
        <w:gridCol w:w="155"/>
      </w:tblGrid>
      <w:tr>
        <w:trPr/>
        <w:tc>
          <w:tcPr>
            <w:tcW w:w="2233"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For the Year Ended December 31,</w:t>
            </w:r>
            <w:r>
              <w:rPr>
                <w:color w:val="000000"/>
              </w:rPr>
              <w:t xml:space="preserve"> </w:t>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(In thousands)</w:t>
            </w:r>
            <w:r>
              <w:rPr>
                <w:color w:val="000000"/>
              </w:rPr>
              <w:t xml:space="preserve"> </w:t>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Summary of Consolidated Statement of Cash Flow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the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the end of the year</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 2023 was $133.5 million, as compared to $49.7 million in 2022. This was attributable to net income of $94.1 million in 2023, compared to net income of $24.0 million in 2022. Net income was primarily adjusted by (i) loss from disposal of property and equipment of $3.2 million in 2023, (ii) depreciation and amortization of $2.9 million, (iii) share-based compensation of $2.5 million in 2023, and (iv) operating lease of $2.5 million in 2023; and the changes in working capital, which primarily consisted of (i) an increase of $20.2 million in accrued expenses and other current liabilities, and (ii) an increase of $26.0 million in accounts payable.</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 2022 was $49.7 million, as compared to net cash provided by operation activities of $8.6 million in 2021. This was attributable to net income of $24.0 million in 2022, compared to net income of $29.3 million in 2021. Net income was primarily adjusted by (i) $9.2 million share-based compensation in relation to employee benefits to our employees and non-employee service providers recognized in 2022 and (ii) $2.4 million of operating lease; and the changes in working capital, which primarily consisted of (i) an increase of $14.4 million in accrued expenses and other current liabilities due to increases in refundable deposits in GigaCloud Marketplace and other payables, (ii) an increase in accounts receivable of $9.2 million due to increase in sales, and (iii) an increase in accounts payable of $6.6 million due to increase in our costs to procure inventories.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 2021 was $8.6 million. This was attributable to net income of $29.3 million, adjusted primarily by (i) $9.7 million of share-based compensation in relation to share options granted to our employees and non-employee service providers which was only recognized in 2021, and (ii) $2.0 million of unrealized foreign currency exchange losses due to appreciation of the U.S. dollar against the Euro and the Japanese Yen, and (iii) $1.3 million of inventory write-down due to certain slow-moving merchandise and damaged goods as we increased our own inventory which also led to increased write-down; and the changes in working capital, which primarily consisted of (i) an increase of $47.1 million in inventories, due to a significant increase in our own inventory for our 1P sales as consumer demand continued to increase in 2021, as well as an increase in shipping costs to procure our inventories, particularly ocean freight costs, (ii) an increase of $6.3 million in accounts payable as our sales increased, driven by the increased numbers of sellers and buyers in our GigaCloud Marketplace, and (iii) a decrease of $5.9 million in accounts receivable as we had better collection in 2021.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 2023 was $90.5 million, primarily consisting of acquisitions, net of cash acquired of $86.6 million and cash paid for purchase of property and equipment of $4.4 million.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 2022 was $709 thousand of cash paid for purchase of property and equipment, as compared to net cash used in investing activities of $1.8 million of cash paid for purchase of property and equipment in 2021.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2021 was $1.8 million, primarily consisting of cash paid for purchase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2023 was $4.0 million, primarily attributable to (i) repayment of finance lease obligations of $2.2 million and (ii) payment of share repurchase of $1.6 million.</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 2022 was $31.9 million, primarily attributable to (i) proceeds from initial public offering, net of IPO costs of $34.2 million, (ii) proceeds from prepaid consideration of restricted shares of $1.6 million, and (iii) cash paid for capital lease obligations of $3.6 million.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in 2021 was $3.0 million, primarily attributable to cash paid for capital lease obligations of $2.5 million and repayment of bank loans of $0.4 million by our subsidiaries in Japan and the U.K.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announced that our board of directors approved a share repurchase program to repurchase up to US$25.0 million of our Class A ordinary shares over the next 12 months. Under the share repurchase program, we may purchase our ordinary shares through various means, including open market transactions, privately negotiated transactions, block trades, any combination thereof or other legally permissible means. We may effect repurchase transactions in compliance with Rule 10b5-1 and Rule 10b-18 of the Securities Exchange Act of 1934, as amended. The number of shares repurchased and the timing of repurchases will depend on a number of factors, including, but not limited to, price, trading volume and general market conditions, along with our working capital requirements, general business conditions and other factors. Our board of directors will review the share repurchase program periodically, and may modify, suspend or terminate the share repurchase program at any time. We plan to fund repurchases from our existing cash balance. During the fourth quarter of 2023, we did not make any repurchase of our Class A ordinary shares. As of December 31, 2023, we repurchased an aggregate of approximately 215,000 Class A ordinary shares in the open market at a total consideration of approximately $1.6 million pursuant to the share repurchase program.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Capital Resources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consist primarily of purchase of property and equipment. Our capital expenditures were $1.8 million, $0.5 million and $4.4 million in 2021, 2022 and 2023, respectively. We intend to fund our future capital expenditures with our existing cash balance, short-term investments and anticipated cash flows from operations. We will continue to make well-planned capital expenditures to meet the expected growth of our business.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Contractual Obligations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contractual obligations as of December 31, 2023:</w:t>
      </w:r>
    </w:p>
    <w:tbl>
      <w:tblPr>
        <w:tblW w:w="7952" w:type="dxa"/>
        <w:jc w:val="center"/>
        <w:tblInd w:w="0" w:type="dxa"/>
        <w:tblLayout w:type="fixed"/>
        <w:tblCellMar>
          <w:top w:w="28" w:type="dxa"/>
          <w:left w:w="28" w:type="dxa"/>
          <w:bottom w:w="28" w:type="dxa"/>
          <w:right w:w="28" w:type="dxa"/>
        </w:tblCellMar>
      </w:tblPr>
      <w:tblGrid>
        <w:gridCol w:w="657"/>
        <w:gridCol w:w="578"/>
        <w:gridCol w:w="580"/>
        <w:gridCol w:w="211"/>
        <w:gridCol w:w="841"/>
        <w:gridCol w:w="109"/>
        <w:gridCol w:w="109"/>
        <w:gridCol w:w="109"/>
        <w:gridCol w:w="109"/>
        <w:gridCol w:w="263"/>
        <w:gridCol w:w="920"/>
        <w:gridCol w:w="136"/>
        <w:gridCol w:w="109"/>
        <w:gridCol w:w="109"/>
        <w:gridCol w:w="109"/>
        <w:gridCol w:w="211"/>
        <w:gridCol w:w="841"/>
        <w:gridCol w:w="109"/>
        <w:gridCol w:w="109"/>
        <w:gridCol w:w="109"/>
        <w:gridCol w:w="109"/>
        <w:gridCol w:w="265"/>
        <w:gridCol w:w="1057"/>
        <w:gridCol w:w="193"/>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More than 3 Years</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Lease commitment</w:t>
            </w:r>
            <w:r>
              <w:rPr>
                <w:rFonts w:ascii="Times New Roman;sans-serif" w:hAnsi="Times New Roman;sans-serif"/>
                <w:b w:val="false"/>
                <w:color w:val="000000"/>
                <w:sz w:val="16"/>
              </w:rPr>
              <w:t>(1)</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453,530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71,242</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218,059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164,229</w:t>
            </w: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60" w:after="4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(1)Lease commitment consists of the commitments under the lease agreements for our warehouses and storage shelves.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those disclosed above, we did not have any significant capital or other commitments, long-term obligations, or guarantees as of December 31, 2023.</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Off-Balance Sheet Commitments and Arrangements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entity that provides financing, liquidity, market risk or credit support to us or engages in leasing, hedging or product development services with us.</w:t>
      </w:r>
    </w:p>
    <w:p>
      <w:pPr>
        <w:pStyle w:val="TextBody"/>
        <w:bidi w:val="0"/>
        <w:spacing w:lineRule="auto" w:line="288" w:before="360" w:after="283"/>
        <w:jc w:val="left"/>
        <w:rPr/>
      </w:pPr>
      <w:r>
        <w:rPr>
          <w:rFonts w:ascii="Times New Roman;sans-serif" w:hAnsi="Times New Roman;sans-serif"/>
          <w:b/>
          <w:color w:val="000000"/>
          <w:sz w:val="20"/>
        </w:rPr>
        <w:t>Internal Control Over Financial Reporting</w:t>
      </w:r>
      <w:r>
        <w:rPr>
          <w:color w:val="000000"/>
        </w:rPr>
        <w:t xml:space="preserv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Prior to our initial public offering, we were a private company with limited accounting personnel and other resources with which we address our internal control over financial reporting. We and our independent registered public accounting firm identified two material weaknesses in our internal control over financial reporting as of December 31, 2023.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For details of the material weaknesses, see “Item 9A - Controls and Procedures.”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a company with less than $1.235 billion in revenues for the fiscal year ended December 31, 2023, we qualify as an “emerging growth company” pursuant to the JOBS Act. An emerging growth company may take advantage of specified reduced reporting and other requirements that are otherwise generally applicable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See “Item 1A. Risk Factors—Risks Related to Our Class A Ordinary Shares—We are an emerging growth company, and the reduced disclosure requirements applicable to emerging growth companies may make our Class A ordinary shares less attractive to investors.”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Holding Company Structure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Cayman Islands currently has no exchange control regulations or currency restrictions which may affect the import or export of capital, including the availability of cash and cash equivalents for use by our company, or the remittance of dividends, interest or other payments to non-resident holders of our securities.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GigaCloud Technology Inc, is a holding company incorporated in the Cayman Islands with no material operations of its own and is not a direct Chinese or Hong Kong operating company. We conduct our operations primarily through our principal subsidiaries . As a result, our ability to pay dividends depends upon dividends paid by our subsidiaries . If our subsidiaries incur debt on their own behalf in the future, the instruments governing their debt may restrict their ability to pay dividends to us.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determined in accordance with local regulations, our subsidiaries in certain of our markets may be restricted from paying us dividends offshore or from transferring a portion of their assets to us, whether in the form of dividends, loans or advances, unless certain requirements are met or regulatory approvals are obtained. In addition, our subsidiaries may be restricted in their ability to pay dividends or distributions or make other transfers to us as a result of the laws of their respective jurisdictions of organization and agreements of our subsidiaries . See “Item 5. Market for Registrant's Common Equity, Related Stockholder Matters and Issuer Purchases of Equity Securities—Dividends.” Even though we currently do not require any such dividends, loans or advances from our entities for working capital and other funding purposes, we may in the future require additional cash resources from them due to changes in business conditions, to fund future acquisitions and development, or merely to declare and pay dividends or distributions to our shareholders.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Trend Information</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disclosed elsewhere in this annual report, we are not aware of any known trends, uncertainties, demands, commitments or events for the year ended December 31, 2023 that are reasonably likely to have a material adverse effect on our net revenues, income, profitability, liquidity or capital resources, or that are reasonably likely to cause a material change in the relationship between costs and revenues, or that would cause reported financial information to be not necessarily indicative of future operating results or financial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U.S. GAAP. The preparation of these financial statements requires our management to make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For the year ended December 31, 2023, we have not identified critical accounting estimates that involve a significant level of estimation uncertainty and would have a material impact on our results.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Policies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reflect the significant judgments, estimates and assumptions used in the preparation of our consolidated financial statements. The following descriptions of critical accounting policies, judgments and estimates should be read in conjunction with our consolidated financial statements and accompanying notes and other disclosures included elsewhere in this annual report. When reviewing our financial statements, investors should consider (i) our selection of critical accounting policies, (ii) the judgments and other uncertainties affecting the application of such policies, and (iii) the sensitivity of reported results to changes in conditions and assumptions.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apply the provisions of ASC 805, Business Combinations ("ASC 805"), in accounting for our acquisitions. ASC 805 requires that we evaluate whether a transaction pertains to an acquisition of assets, or to an acquisition of a business. A business is defined as an integrated set of inputs and processes that is capable of being conducted and managed for the purpose of providing an output, or a return to investors. Asset acquisitions are accounted for by allocating the cost of the acquisition to the individual assets acquired and liabilities assumed on a relative fair value basis, whereas the acquisition of a business requires us to recognize separately from goodwill the assets acquired, and the liabilities assumed at the acquisition date fair values. Judgment is required when we evaluate and determine whether an input and a substantive process exists following ASC 805. Whether the acquired set is a business or a group of assets, is an important determination, given the different accounting models for the acquisition of a group of assets versus a business.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 list of recently issued accounting pronouncements that are relevant to us is included in Note 2 “Recent accounting pronouncements” to our consolidated financial statements included elsewhere in this annual report.</w:t>
      </w:r>
    </w:p>
    <w:p>
      <w:pPr>
        <w:pStyle w:val="TextBody"/>
        <w:bidi w:val="0"/>
        <w:spacing w:before="120" w:after="283"/>
        <w:ind w:left="0" w:right="0" w:firstLine="110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7A.</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from inflation, foreign exchange rates and changes in interest rates. All of these market risks arise in the ordinary course of business, as we do not engage in speculative trading activities. The following analysis provides additional information regarding these risks.</w:t>
      </w:r>
    </w:p>
    <w:p>
      <w:pPr>
        <w:pStyle w:val="TextBody"/>
        <w:bidi w:val="0"/>
        <w:spacing w:before="0" w:after="0"/>
        <w:ind w:left="0" w:right="0" w:firstLine="1102"/>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Inflation </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in 2023, as well as presently, we have experienced inflationary pressures across various parts of our business and operations, including but not limited to rising costs across our supply chain. We continue to monitor the impact of inflation in order to minimize its effects through revisions in our budgeting, strategy and procurement efforts. We have entered into a number of contracts with third-party transportation service providers to mitigate the impact against any further increase in ocean freight costs in the short term.If our costs were to be subject to more significant inflationary pressures, we may not be able to fully offset such higher costs through price increases or other cost efficiency measures. Our inability or failure to do so could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Rate Risk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Class A ordinary shares will be affected by the exchange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between U.S. dollar and the local currency in the markets in which we operate because the value of our business is effectively denominated in the local currency, while our Class A ordinary shares will be traded in U.S. dollars.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need to convert U.S. dollars into the local currency for our operations, appreciation of the local currency against the U.S. dollar would reduce the local currency amount we receive from the conversion. Conversely, if we decide to convert the local currency into U.S. dollars for the purpose of making payments for dividends on our ordinary shares, servicing our outstanding debt, or for other business purposes, appreciation of the U.S. dollar against the local currency would reduce the U.S. dollar amounts available to us. </w:t>
      </w:r>
    </w:p>
    <w:p>
      <w:pPr>
        <w:pStyle w:val="TextBody"/>
        <w:bidi w:val="0"/>
        <w:spacing w:before="0" w:after="0"/>
        <w:ind w:left="0" w:right="0" w:firstLine="1102"/>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before="0" w:after="0"/>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any borrowings as of December 31, 2023. If we were to renew these borrowings, we may be subject to interest rate risks.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been exposed to material risks due to changes in market interest rates, and we have not used any derivative financial instruments to manage our interest risk exposure. However, we cannot provide assurance that we will not be exposed to material risks due to changes in market interest rate in the future. </w:t>
      </w:r>
    </w:p>
    <w:p>
      <w:pPr>
        <w:pStyle w:val="TextBody"/>
        <w:bidi w:val="0"/>
        <w:spacing w:before="0" w:after="0"/>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After the completion of our initial public offering, we invested the net proceeds we received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ind w:left="0" w:right="0" w:firstLine="1102"/>
        <w:jc w:val="left"/>
        <w:rPr/>
      </w:pPr>
      <w:r>
        <w:rPr/>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the Consolidated Financial Statements</w:t>
      </w:r>
    </w:p>
    <w:tbl>
      <w:tblPr>
        <w:tblW w:w="10205" w:type="dxa"/>
        <w:jc w:val="left"/>
        <w:tblInd w:w="0" w:type="dxa"/>
        <w:tblLayout w:type="fixed"/>
        <w:tblCellMar>
          <w:top w:w="28" w:type="dxa"/>
          <w:left w:w="28" w:type="dxa"/>
          <w:bottom w:w="28" w:type="dxa"/>
          <w:right w:w="28" w:type="dxa"/>
        </w:tblCellMar>
      </w:tblPr>
      <w:tblGrid>
        <w:gridCol w:w="3400"/>
        <w:gridCol w:w="2983"/>
        <w:gridCol w:w="3000"/>
        <w:gridCol w:w="239"/>
        <w:gridCol w:w="239"/>
        <w:gridCol w:w="344"/>
      </w:tblGrid>
      <w:tr>
        <w:trPr/>
        <w:tc>
          <w:tcPr>
            <w:tcW w:w="3400"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93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CONTENTS</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PAGE(S)</w:t>
            </w:r>
          </w:p>
        </w:tc>
      </w:tr>
      <w:tr>
        <w:trPr/>
        <w:tc>
          <w:tcPr>
            <w:tcW w:w="93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18">
              <w:r>
                <w:rPr>
                  <w:rStyle w:val="InternetLink"/>
                  <w:rFonts w:ascii="Times New Roman;sans-serif" w:hAnsi="Times New Roman;sans-serif"/>
                  <w:b w:val="false"/>
                  <w:color w:val="000080"/>
                  <w:sz w:val="20"/>
                  <w:u w:val="single"/>
                </w:rPr>
                <w:t xml:space="preserve">Report of Independent Registered Public Accounting Firm (PCAOB ID: </w:t>
              </w:r>
            </w:hyperlink>
            <w:r>
              <w:rPr>
                <w:rFonts w:ascii="Times New Roman;sans-serif" w:hAnsi="Times New Roman;sans-serif"/>
                <w:b w:val="false"/>
                <w:color w:val="0000FF"/>
                <w:sz w:val="20"/>
                <w:u w:val="single"/>
              </w:rPr>
              <w:t>1186</w:t>
            </w:r>
            <w:hyperlink w:anchor="i7d9e1b40a3474abdb3b40585aed3562e_118">
              <w:r>
                <w:rPr>
                  <w:rStyle w:val="InternetLink"/>
                  <w:rFonts w:ascii="Times New Roman;sans-serif" w:hAnsi="Times New Roman;sans-serif"/>
                  <w:b w:val="false"/>
                  <w:color w:val="000080"/>
                  <w:sz w:val="20"/>
                  <w:u w:val="single"/>
                </w:rPr>
                <w:t>)</w:t>
              </w:r>
            </w:hyperlink>
          </w:p>
        </w:tc>
        <w:tc>
          <w:tcPr>
            <w:tcW w:w="82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9e1b40a3474abdb3b40585aed3562e_118">
              <w:r>
                <w:rPr>
                  <w:rStyle w:val="InternetLink"/>
                  <w:rFonts w:ascii="Times New Roman;sans-serif" w:hAnsi="Times New Roman;sans-serif"/>
                  <w:b w:val="false"/>
                  <w:strike w:val="false"/>
                  <w:dstrike w:val="false"/>
                  <w:color w:val="000000"/>
                  <w:sz w:val="20"/>
                  <w:u w:val="none"/>
                  <w:effect w:val="none"/>
                </w:rPr>
                <w:t>106</w:t>
              </w:r>
            </w:hyperlink>
          </w:p>
        </w:tc>
      </w:tr>
      <w:tr>
        <w:trPr/>
        <w:tc>
          <w:tcPr>
            <w:tcW w:w="93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21">
              <w:r>
                <w:rPr>
                  <w:rStyle w:val="InternetLink"/>
                  <w:rFonts w:ascii="Times New Roman;sans-serif" w:hAnsi="Times New Roman;sans-serif"/>
                  <w:b w:val="false"/>
                  <w:color w:val="0000FF"/>
                  <w:sz w:val="20"/>
                  <w:u w:val="single"/>
                </w:rPr>
                <w:t>Consolidated Balance Sheets as of December 31, 2022 and 2023</w:t>
              </w:r>
            </w:hyperlink>
          </w:p>
        </w:tc>
        <w:tc>
          <w:tcPr>
            <w:tcW w:w="82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9e1b40a3474abdb3b40585aed3562e_121">
              <w:r>
                <w:rPr>
                  <w:rStyle w:val="InternetLink"/>
                  <w:rFonts w:ascii="Times New Roman;sans-serif" w:hAnsi="Times New Roman;sans-serif"/>
                  <w:b w:val="false"/>
                  <w:strike w:val="false"/>
                  <w:dstrike w:val="false"/>
                  <w:color w:val="000000"/>
                  <w:sz w:val="20"/>
                  <w:u w:val="none"/>
                  <w:effect w:val="none"/>
                </w:rPr>
                <w:t>107</w:t>
              </w:r>
            </w:hyperlink>
          </w:p>
        </w:tc>
      </w:tr>
      <w:tr>
        <w:trPr/>
        <w:tc>
          <w:tcPr>
            <w:tcW w:w="93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24">
              <w:r>
                <w:rPr>
                  <w:rStyle w:val="InternetLink"/>
                  <w:rFonts w:ascii="Times New Roman;sans-serif" w:hAnsi="Times New Roman;sans-serif"/>
                  <w:b w:val="false"/>
                  <w:color w:val="0000FF"/>
                  <w:sz w:val="20"/>
                  <w:u w:val="single"/>
                </w:rPr>
                <w:t>Consolidated Statements of Comprehensive Income for the years ended December 31, 2021, 2022 and 2023</w:t>
              </w:r>
            </w:hyperlink>
          </w:p>
        </w:tc>
        <w:tc>
          <w:tcPr>
            <w:tcW w:w="82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9e1b40a3474abdb3b40585aed3562e_124">
              <w:r>
                <w:rPr>
                  <w:rStyle w:val="InternetLink"/>
                  <w:rFonts w:ascii="Times New Roman;sans-serif" w:hAnsi="Times New Roman;sans-serif"/>
                  <w:b w:val="false"/>
                  <w:strike w:val="false"/>
                  <w:dstrike w:val="false"/>
                  <w:color w:val="000000"/>
                  <w:sz w:val="20"/>
                  <w:u w:val="none"/>
                  <w:effect w:val="none"/>
                </w:rPr>
                <w:t>110</w:t>
              </w:r>
            </w:hyperlink>
          </w:p>
        </w:tc>
      </w:tr>
      <w:tr>
        <w:trPr/>
        <w:tc>
          <w:tcPr>
            <w:tcW w:w="93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27">
              <w:r>
                <w:rPr>
                  <w:rStyle w:val="InternetLink"/>
                  <w:rFonts w:ascii="Times New Roman;sans-serif" w:hAnsi="Times New Roman;sans-serif"/>
                  <w:b w:val="false"/>
                  <w:color w:val="0000FF"/>
                  <w:sz w:val="20"/>
                  <w:u w:val="single"/>
                </w:rPr>
                <w:t>Consolidated Statements of Changes in Shareholders’ Equity for the years ended December 31, 2021, 2022 and 2023</w:t>
              </w:r>
            </w:hyperlink>
          </w:p>
        </w:tc>
        <w:tc>
          <w:tcPr>
            <w:tcW w:w="82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9e1b40a3474abdb3b40585aed3562e_127">
              <w:r>
                <w:rPr>
                  <w:rStyle w:val="InternetLink"/>
                  <w:rFonts w:ascii="Times New Roman;sans-serif" w:hAnsi="Times New Roman;sans-serif"/>
                  <w:b w:val="false"/>
                  <w:strike w:val="false"/>
                  <w:dstrike w:val="false"/>
                  <w:color w:val="000000"/>
                  <w:sz w:val="20"/>
                  <w:u w:val="none"/>
                  <w:effect w:val="none"/>
                </w:rPr>
                <w:t>111</w:t>
              </w:r>
            </w:hyperlink>
          </w:p>
        </w:tc>
      </w:tr>
      <w:tr>
        <w:trPr/>
        <w:tc>
          <w:tcPr>
            <w:tcW w:w="93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30">
              <w:r>
                <w:rPr>
                  <w:rStyle w:val="InternetLink"/>
                  <w:rFonts w:ascii="Times New Roman;sans-serif" w:hAnsi="Times New Roman;sans-serif"/>
                  <w:b w:val="false"/>
                  <w:color w:val="0000FF"/>
                  <w:sz w:val="20"/>
                  <w:u w:val="single"/>
                </w:rPr>
                <w:t>Consolidated Statements of Cash Flows for the years ended December 31, 2021, 2022 and 2023</w:t>
              </w:r>
            </w:hyperlink>
          </w:p>
        </w:tc>
        <w:tc>
          <w:tcPr>
            <w:tcW w:w="82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9e1b40a3474abdb3b40585aed3562e_130">
              <w:r>
                <w:rPr>
                  <w:rStyle w:val="InternetLink"/>
                  <w:rFonts w:ascii="Times New Roman;sans-serif" w:hAnsi="Times New Roman;sans-serif"/>
                  <w:b w:val="false"/>
                  <w:strike w:val="false"/>
                  <w:dstrike w:val="false"/>
                  <w:color w:val="000000"/>
                  <w:sz w:val="20"/>
                  <w:u w:val="none"/>
                  <w:effect w:val="none"/>
                </w:rPr>
                <w:t>114</w:t>
              </w:r>
            </w:hyperlink>
          </w:p>
        </w:tc>
      </w:tr>
      <w:tr>
        <w:trPr/>
        <w:tc>
          <w:tcPr>
            <w:tcW w:w="93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9e1b40a3474abdb3b40585aed3562e_133">
              <w:r>
                <w:rPr>
                  <w:rStyle w:val="InternetLink"/>
                  <w:rFonts w:ascii="Times New Roman;sans-serif" w:hAnsi="Times New Roman;sans-serif"/>
                  <w:b w:val="false"/>
                  <w:color w:val="0000FF"/>
                  <w:sz w:val="20"/>
                  <w:u w:val="single"/>
                </w:rPr>
                <w:t>Notes to Consolidated Financial Statements</w:t>
              </w:r>
            </w:hyperlink>
          </w:p>
        </w:tc>
        <w:tc>
          <w:tcPr>
            <w:tcW w:w="82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9e1b40a3474abdb3b40585aed3562e_133">
              <w:r>
                <w:rPr>
                  <w:rStyle w:val="InternetLink"/>
                  <w:rFonts w:ascii="Times New Roman;sans-serif" w:hAnsi="Times New Roman;sans-serif"/>
                  <w:b w:val="false"/>
                  <w:strike w:val="false"/>
                  <w:dstrike w:val="false"/>
                  <w:color w:val="000000"/>
                  <w:sz w:val="20"/>
                  <w:u w:val="none"/>
                  <w:effect w:val="none"/>
                </w:rPr>
                <w:t>116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bookmarkStart w:id="0" w:name="i0f587eb23b904e07b2f642179980f122_2831"/>
      <w:bookmarkEnd w:id="0"/>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GigaCloud Technology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GigaCloud Technology Inc, subsidiaries and consolidated VIEs (the Company) as of December 31, 2023 and 2022, the related consolidated statements of comprehensive income, changes in shareholders’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Accounting Principle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has changed its method of accounting for leases as of January 1, 2022 due to the adoption of Accounting Standards Update (“ASU”) No. 2016-02, Leases (Topic 842), as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Huazhen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 People’s Republic of China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bookmarkStart w:id="1" w:name="if46972d702654396bd11ee13a2f06247_439"/>
      <w:bookmarkEnd w:id="1"/>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pPr>
      <w:r>
        <w:rPr>
          <w:rFonts w:ascii="Times New Roman;sans-serif" w:hAnsi="Times New Roman;sans-serif"/>
          <w:b/>
          <w:color w:val="000000"/>
          <w:sz w:val="20"/>
        </w:rPr>
        <w:t xml:space="preserve">(In thousands </w:t>
      </w:r>
      <w:r>
        <w:rPr>
          <w:rFonts w:ascii="Times New Roman;sans-serif" w:hAnsi="Times New Roman;sans-serif"/>
          <w:b/>
          <w:color w:val="000000"/>
          <w:sz w:val="21"/>
        </w:rPr>
        <w:t>except for share data and per share data</w:t>
      </w:r>
      <w:r>
        <w:rPr>
          <w:rFonts w:ascii="Times New Roman;sans-serif" w:hAnsi="Times New Roman;sans-serif"/>
          <w:b/>
          <w:color w:val="000000"/>
          <w:sz w:val="20"/>
        </w:rPr>
        <w:t xml:space="preserve">) </w:t>
      </w:r>
    </w:p>
    <w:tbl>
      <w:tblPr>
        <w:tblW w:w="7008" w:type="dxa"/>
        <w:jc w:val="left"/>
        <w:tblInd w:w="0" w:type="dxa"/>
        <w:tblLayout w:type="fixed"/>
        <w:tblCellMar>
          <w:top w:w="28" w:type="dxa"/>
          <w:left w:w="28" w:type="dxa"/>
          <w:bottom w:w="28" w:type="dxa"/>
          <w:right w:w="28" w:type="dxa"/>
        </w:tblCellMar>
      </w:tblPr>
      <w:tblGrid>
        <w:gridCol w:w="1117"/>
        <w:gridCol w:w="984"/>
        <w:gridCol w:w="989"/>
        <w:gridCol w:w="190"/>
        <w:gridCol w:w="190"/>
        <w:gridCol w:w="190"/>
        <w:gridCol w:w="109"/>
        <w:gridCol w:w="109"/>
        <w:gridCol w:w="109"/>
        <w:gridCol w:w="109"/>
        <w:gridCol w:w="109"/>
        <w:gridCol w:w="109"/>
        <w:gridCol w:w="211"/>
        <w:gridCol w:w="841"/>
        <w:gridCol w:w="109"/>
        <w:gridCol w:w="109"/>
        <w:gridCol w:w="109"/>
        <w:gridCol w:w="109"/>
        <w:gridCol w:w="211"/>
        <w:gridCol w:w="841"/>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57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7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2(g)</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57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57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258,122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392,807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57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2(ad),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57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2(ad),</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24,614 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w:t>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57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160,478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454,102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57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418,600</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846,909</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pPr>
      <w:r>
        <w:rPr>
          <w:rFonts w:ascii="Times New Roman;sans-serif" w:hAnsi="Times New Roman;sans-serif"/>
          <w:b/>
          <w:color w:val="000000"/>
          <w:sz w:val="20"/>
        </w:rPr>
        <w:t xml:space="preserve">(In thousands </w:t>
      </w:r>
      <w:r>
        <w:rPr>
          <w:rFonts w:ascii="Times New Roman;sans-serif" w:hAnsi="Times New Roman;sans-serif"/>
          <w:b/>
          <w:color w:val="000000"/>
          <w:sz w:val="21"/>
        </w:rPr>
        <w:t>except for share data and per share data</w:t>
      </w:r>
      <w:r>
        <w:rPr>
          <w:rFonts w:ascii="Times New Roman;sans-serif" w:hAnsi="Times New Roman;sans-serif"/>
          <w:b/>
          <w:color w:val="000000"/>
          <w:sz w:val="20"/>
        </w:rPr>
        <w:t>)</w:t>
      </w:r>
    </w:p>
    <w:tbl>
      <w:tblPr>
        <w:tblW w:w="10205" w:type="dxa"/>
        <w:jc w:val="left"/>
        <w:tblInd w:w="0" w:type="dxa"/>
        <w:tblLayout w:type="fixed"/>
        <w:tblCellMar>
          <w:top w:w="28" w:type="dxa"/>
          <w:left w:w="28" w:type="dxa"/>
          <w:bottom w:w="28" w:type="dxa"/>
          <w:right w:w="28" w:type="dxa"/>
        </w:tblCellMar>
      </w:tblPr>
      <w:tblGrid>
        <w:gridCol w:w="2422"/>
        <w:gridCol w:w="2130"/>
        <w:gridCol w:w="2134"/>
        <w:gridCol w:w="165"/>
        <w:gridCol w:w="165"/>
        <w:gridCol w:w="166"/>
        <w:gridCol w:w="109"/>
        <w:gridCol w:w="109"/>
        <w:gridCol w:w="109"/>
        <w:gridCol w:w="211"/>
        <w:gridCol w:w="841"/>
        <w:gridCol w:w="109"/>
        <w:gridCol w:w="109"/>
        <w:gridCol w:w="109"/>
        <w:gridCol w:w="109"/>
        <w:gridCol w:w="211"/>
        <w:gridCol w:w="841"/>
        <w:gridCol w:w="156"/>
      </w:tblGrid>
      <w:tr>
        <w:trPr/>
        <w:tc>
          <w:tcPr>
            <w:tcW w:w="242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49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w:t>
            </w:r>
          </w:p>
        </w:tc>
        <w:tc>
          <w:tcPr>
            <w:tcW w:w="4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(including accounts payable of VIEs without recourse to the Company of $4,185 and $11,563 as of December 31, 2022 and December 31, 2023, respectively)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(including contract liabilities of VIEs without recourse to the Company of $385 and $736 as of December 31, 2022 and December 31, 2023, respectively)</w:t>
            </w:r>
          </w:p>
        </w:tc>
        <w:tc>
          <w:tcPr>
            <w:tcW w:w="4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 (including current operating lease liabilities of VIEs without recourse to the Company of $1,864 and $1,305 as of December 31, 2022 and December 31, 2023, respectively)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 (including income tax payable of VIEs without recourse to the Company of $280 and $3,644 as of December 31, 2022 and December 31, 2023, respectively)</w:t>
            </w:r>
          </w:p>
        </w:tc>
        <w:tc>
          <w:tcPr>
            <w:tcW w:w="49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(including accrued expenses and other current liabilities of VIEs without recourse to the Company of $442 and $2,774 as of December 31, 2022 and December 31, 2023, respectively)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49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102,638</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205,774</w:t>
            </w:r>
            <w:r>
              <w:rPr>
                <w:color w:val="000000"/>
              </w:rPr>
              <w:t> </w:t>
            </w:r>
          </w:p>
        </w:tc>
        <w:tc>
          <w:tcPr>
            <w:tcW w:w="15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 (including operating lease liabilities, non-current of VIEs without recourse to the Company of $3,322 and $553 as of December 31, 2022 and December 31, 2023, respectively)</w:t>
            </w:r>
          </w:p>
        </w:tc>
        <w:tc>
          <w:tcPr>
            <w:tcW w:w="4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343,511 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non-current</w:t>
            </w:r>
          </w:p>
        </w:tc>
        <w:tc>
          <w:tcPr>
            <w:tcW w:w="4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income tax payable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49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120,797</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350,719</w:t>
            </w:r>
            <w:r>
              <w:rPr>
                <w:color w:val="000000"/>
              </w:rPr>
              <w:t> </w:t>
            </w:r>
          </w:p>
        </w:tc>
        <w:tc>
          <w:tcPr>
            <w:tcW w:w="15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223,435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556,493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4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for share data and per share data) </w:t>
      </w:r>
    </w:p>
    <w:tbl>
      <w:tblPr>
        <w:tblW w:w="10205" w:type="dxa"/>
        <w:jc w:val="left"/>
        <w:tblInd w:w="0" w:type="dxa"/>
        <w:tblLayout w:type="fixed"/>
        <w:tblCellMar>
          <w:top w:w="28" w:type="dxa"/>
          <w:left w:w="28" w:type="dxa"/>
          <w:bottom w:w="28" w:type="dxa"/>
          <w:right w:w="28" w:type="dxa"/>
        </w:tblCellMar>
      </w:tblPr>
      <w:tblGrid>
        <w:gridCol w:w="2434"/>
        <w:gridCol w:w="2110"/>
        <w:gridCol w:w="2114"/>
        <w:gridCol w:w="174"/>
        <w:gridCol w:w="174"/>
        <w:gridCol w:w="175"/>
        <w:gridCol w:w="109"/>
        <w:gridCol w:w="109"/>
        <w:gridCol w:w="109"/>
        <w:gridCol w:w="211"/>
        <w:gridCol w:w="841"/>
        <w:gridCol w:w="109"/>
        <w:gridCol w:w="109"/>
        <w:gridCol w:w="109"/>
        <w:gridCol w:w="109"/>
        <w:gridCol w:w="211"/>
        <w:gridCol w:w="841"/>
        <w:gridCol w:w="157"/>
      </w:tblGrid>
      <w:tr>
        <w:trPr/>
        <w:tc>
          <w:tcPr>
            <w:tcW w:w="243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5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5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(4,624,039 and 294,029 shares held as of December 31, 2022 and December 31, 2023, respectively)</w:t>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receivable from ordinary shares</w:t>
            </w:r>
          </w:p>
        </w:tc>
        <w:tc>
          <w:tcPr>
            <w:tcW w:w="5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($0.05 par value, 50,673,268 shares authorized, 31,357,814 and 31,738,632 shares issued as of December 31, 2022 and December 31, 2023, respectively, 31,357,814 and 31,455,148 shares outstanding as of December 31, 2022 and December 31, 2023, respectively)</w:t>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ordinary shares ($0.05 par value, 9,326,732 shares authorized, issued and outstanding as of December 31, 2022 and December 31, 2023)</w:t>
            </w:r>
          </w:p>
        </w:tc>
        <w:tc>
          <w:tcPr>
            <w:tcW w:w="523"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14, 15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5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5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195,165</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290,416</w:t>
            </w:r>
            <w:r>
              <w:rPr>
                <w:color w:val="000000"/>
              </w:rPr>
              <w:t> </w:t>
            </w:r>
          </w:p>
        </w:tc>
        <w:tc>
          <w:tcPr>
            <w:tcW w:w="15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418,600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846,909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bookmarkStart w:id="2" w:name="i3cbdcac2f1cb41e68cbaa4901f51e496_224"/>
      <w:bookmarkEnd w:id="2"/>
      <w:r>
        <w:rPr>
          <w:rFonts w:ascii="Times New Roman;sans-serif" w:hAnsi="Times New Roman;sans-serif"/>
          <w:b/>
          <w:color w:val="000000"/>
          <w:sz w:val="20"/>
        </w:rPr>
        <w:t xml:space="preserve">CONSOLIDATED STATEMENTS OF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 and per share data)</w:t>
      </w:r>
    </w:p>
    <w:tbl>
      <w:tblPr>
        <w:tblW w:w="10205" w:type="dxa"/>
        <w:jc w:val="left"/>
        <w:tblInd w:w="0" w:type="dxa"/>
        <w:tblLayout w:type="fixed"/>
        <w:tblCellMar>
          <w:top w:w="28" w:type="dxa"/>
          <w:left w:w="28" w:type="dxa"/>
          <w:bottom w:w="28" w:type="dxa"/>
          <w:right w:w="28" w:type="dxa"/>
        </w:tblCellMar>
      </w:tblPr>
      <w:tblGrid>
        <w:gridCol w:w="1983"/>
        <w:gridCol w:w="1487"/>
        <w:gridCol w:w="1495"/>
        <w:gridCol w:w="287"/>
        <w:gridCol w:w="287"/>
        <w:gridCol w:w="289"/>
        <w:gridCol w:w="109"/>
        <w:gridCol w:w="109"/>
        <w:gridCol w:w="109"/>
        <w:gridCol w:w="211"/>
        <w:gridCol w:w="736"/>
        <w:gridCol w:w="109"/>
        <w:gridCol w:w="109"/>
        <w:gridCol w:w="109"/>
        <w:gridCol w:w="109"/>
        <w:gridCol w:w="211"/>
        <w:gridCol w:w="826"/>
        <w:gridCol w:w="109"/>
        <w:gridCol w:w="109"/>
        <w:gridCol w:w="109"/>
        <w:gridCol w:w="109"/>
        <w:gridCol w:w="211"/>
        <w:gridCol w:w="826"/>
        <w:gridCol w:w="157"/>
      </w:tblGrid>
      <w:tr>
        <w:trPr/>
        <w:tc>
          <w:tcPr>
            <w:tcW w:w="198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863"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2(ad), 2(q), 19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349,443 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504,647 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239,877 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353,983 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324,600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406,957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515,198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89,597</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83,114</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188,633</w:t>
            </w:r>
            <w:r>
              <w:rPr>
                <w:color w:val="000000"/>
              </w:rPr>
              <w:t> </w:t>
            </w:r>
          </w:p>
        </w:tc>
        <w:tc>
          <w:tcPr>
            <w:tcW w:w="15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41,386 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disposal of property and equipment</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50,244</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48,091</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78,555</w:t>
            </w:r>
            <w:r>
              <w:rPr>
                <w:color w:val="000000"/>
              </w:rPr>
              <w:t> </w:t>
            </w:r>
          </w:p>
        </w:tc>
        <w:tc>
          <w:tcPr>
            <w:tcW w:w="15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39,353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35,023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110,078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gains (losses), net</w:t>
            </w:r>
          </w:p>
        </w:tc>
        <w:tc>
          <w:tcPr>
            <w:tcW w:w="863"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2(aa)</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grants</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net</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37,725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114,995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63"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(20,887)</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23,972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94,108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Redeemable Convertible Preferred Shares</w:t>
            </w:r>
          </w:p>
        </w:tc>
        <w:tc>
          <w:tcPr>
            <w:tcW w:w="863"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09" w:type="dxa"/>
            <w:tcBorders>
              <w:top w:val="doub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09" w:type="dxa"/>
            <w:tcBorders>
              <w:top w:val="doub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doub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ordinary shareholders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94,108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nil income taxes</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5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other comprehensive income (loss)</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29,380</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24,941</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93,830</w:t>
            </w:r>
            <w:r>
              <w:rPr>
                <w:color w:val="000000"/>
              </w:rPr>
              <w:t> </w:t>
            </w:r>
          </w:p>
        </w:tc>
        <w:tc>
          <w:tcPr>
            <w:tcW w:w="15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ordinary share</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863"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ordinary shares outstanding used in computing net income per ordinary share</w:t>
            </w:r>
          </w:p>
        </w:tc>
        <w:tc>
          <w:tcPr>
            <w:tcW w:w="8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40,788,448</w:t>
            </w:r>
          </w:p>
        </w:tc>
      </w:tr>
      <w:tr>
        <w:trPr/>
        <w:tc>
          <w:tcPr>
            <w:tcW w:w="496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863"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10,248,079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24,412,314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40,922,590</w:t>
            </w:r>
          </w:p>
        </w:tc>
      </w:tr>
    </w:tbl>
    <w:p>
      <w:pPr>
        <w:pStyle w:val="TextBody"/>
        <w:bidi w:val="0"/>
        <w:spacing w:lineRule="auto" w:line="288" w:before="240" w:after="283"/>
        <w:jc w:val="center"/>
        <w:rPr/>
      </w:pPr>
      <w:r>
        <w:rPr>
          <w:rFonts w:ascii="Times New Roman;sans-serif" w:hAnsi="Times New Roman;sans-serif"/>
          <w:b w:val="false"/>
          <w:color w:val="000000"/>
          <w:sz w:val="20"/>
        </w:rPr>
        <w:t>The accompanying notes are an integral part of these consolidated financial statements</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bookmarkStart w:id="3" w:name="i343d6217b6c44298b1778b6567e72809_291"/>
      <w:bookmarkEnd w:id="3"/>
      <w:r>
        <w:rPr>
          <w:rFonts w:ascii="Times New Roman;sans-serif" w:hAnsi="Times New Roman;sans-serif"/>
          <w:b/>
          <w:color w:val="000000"/>
          <w:sz w:val="20"/>
        </w:rPr>
        <w:t xml:space="preserve">CONSOLIDATED STATEMENTS OF CHANGES IN SHAREHOLDERS’ EQUITY </w:t>
      </w:r>
    </w:p>
    <w:p>
      <w:pPr>
        <w:pStyle w:val="TextBody"/>
        <w:bidi w:val="0"/>
        <w:spacing w:lineRule="auto" w:line="288" w:before="0" w:after="0"/>
        <w:jc w:val="center"/>
        <w:rPr/>
      </w:pPr>
      <w:r>
        <w:rPr>
          <w:rFonts w:ascii="Times New Roman;sans-serif" w:hAnsi="Times New Roman;sans-serif"/>
          <w:b/>
          <w:color w:val="000000"/>
          <w:sz w:val="20"/>
        </w:rPr>
        <w:t>(In thousands except for share data</w:t>
      </w:r>
      <w:r>
        <w:rPr>
          <w:rFonts w:ascii="Times New Roman;sans-serif" w:hAnsi="Times New Roman;sans-serif"/>
          <w:b w:val="false"/>
          <w:color w:val="000000"/>
          <w:sz w:val="20"/>
        </w:rPr>
        <w:t>)</w:t>
      </w:r>
    </w:p>
    <w:tbl>
      <w:tblPr>
        <w:tblW w:w="13661" w:type="dxa"/>
        <w:jc w:val="left"/>
        <w:tblInd w:w="0" w:type="dxa"/>
        <w:tblLayout w:type="fixed"/>
        <w:tblCellMar>
          <w:top w:w="28" w:type="dxa"/>
          <w:left w:w="28" w:type="dxa"/>
          <w:bottom w:w="28" w:type="dxa"/>
          <w:right w:w="28" w:type="dxa"/>
        </w:tblCellMar>
      </w:tblPr>
      <w:tblGrid>
        <w:gridCol w:w="611"/>
        <w:gridCol w:w="234"/>
        <w:gridCol w:w="236"/>
        <w:gridCol w:w="150"/>
        <w:gridCol w:w="150"/>
        <w:gridCol w:w="151"/>
        <w:gridCol w:w="109"/>
        <w:gridCol w:w="109"/>
        <w:gridCol w:w="109"/>
        <w:gridCol w:w="488"/>
        <w:gridCol w:w="488"/>
        <w:gridCol w:w="251"/>
        <w:gridCol w:w="109"/>
        <w:gridCol w:w="109"/>
        <w:gridCol w:w="109"/>
        <w:gridCol w:w="196"/>
        <w:gridCol w:w="436"/>
        <w:gridCol w:w="109"/>
        <w:gridCol w:w="109"/>
        <w:gridCol w:w="109"/>
        <w:gridCol w:w="109"/>
        <w:gridCol w:w="277"/>
        <w:gridCol w:w="574"/>
        <w:gridCol w:w="155"/>
        <w:gridCol w:w="109"/>
        <w:gridCol w:w="109"/>
        <w:gridCol w:w="109"/>
        <w:gridCol w:w="488"/>
        <w:gridCol w:w="488"/>
        <w:gridCol w:w="266"/>
        <w:gridCol w:w="109"/>
        <w:gridCol w:w="109"/>
        <w:gridCol w:w="109"/>
        <w:gridCol w:w="196"/>
        <w:gridCol w:w="436"/>
        <w:gridCol w:w="109"/>
        <w:gridCol w:w="109"/>
        <w:gridCol w:w="109"/>
        <w:gridCol w:w="109"/>
        <w:gridCol w:w="196"/>
        <w:gridCol w:w="661"/>
        <w:gridCol w:w="109"/>
        <w:gridCol w:w="109"/>
        <w:gridCol w:w="109"/>
        <w:gridCol w:w="109"/>
        <w:gridCol w:w="309"/>
        <w:gridCol w:w="689"/>
        <w:gridCol w:w="173"/>
        <w:gridCol w:w="109"/>
        <w:gridCol w:w="109"/>
        <w:gridCol w:w="109"/>
        <w:gridCol w:w="196"/>
        <w:gridCol w:w="661"/>
        <w:gridCol w:w="109"/>
        <w:gridCol w:w="109"/>
        <w:gridCol w:w="109"/>
        <w:gridCol w:w="109"/>
        <w:gridCol w:w="218"/>
        <w:gridCol w:w="736"/>
        <w:gridCol w:w="172"/>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w:t>
              <w:br/>
              <w:t>receivable</w:t>
              <w:br/>
              <w:t>from</w:t>
              <w:br/>
              <w:t>ordinary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 xml:space="preserve">equity </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preferred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Balance as of January 1, 2021 </w:t>
            </w:r>
          </w:p>
        </w:tc>
        <w:tc>
          <w:tcPr>
            <w:tcW w:w="4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9,495,844</w:t>
            </w:r>
            <w:r>
              <w:rPr>
                <w:color w:val="000000"/>
              </w:rPr>
              <w:t> </w:t>
            </w:r>
          </w:p>
        </w:tc>
        <w:tc>
          <w:tcPr>
            <w:tcW w:w="25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475</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17,428,266</w:t>
            </w:r>
            <w:r>
              <w:rPr>
                <w:color w:val="000000"/>
              </w:rPr>
              <w:t> </w:t>
            </w:r>
          </w:p>
        </w:tc>
        <w:tc>
          <w:tcPr>
            <w:tcW w:w="26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872</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27,758</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(288)</w:t>
            </w:r>
          </w:p>
        </w:tc>
        <w:tc>
          <w:tcPr>
            <w:tcW w:w="17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32,802</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61,619</w:t>
            </w:r>
            <w:r>
              <w:rPr>
                <w:color w:val="000000"/>
              </w:rPr>
              <w:t> </w:t>
            </w:r>
          </w:p>
        </w:tc>
        <w:tc>
          <w:tcPr>
            <w:tcW w:w="17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5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9,681 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Series E Preferred Shares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vested share-based awards</w:t>
            </w:r>
          </w:p>
        </w:tc>
        <w:tc>
          <w:tcPr>
            <w:tcW w:w="45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1,587,086</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 net of nil income taxes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4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11,082,930</w:t>
            </w:r>
            <w:r>
              <w:rPr>
                <w:color w:val="000000"/>
              </w:rPr>
              <w:t> </w:t>
            </w:r>
          </w:p>
        </w:tc>
        <w:tc>
          <w:tcPr>
            <w:tcW w:w="25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554</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4"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(79)</w:t>
            </w:r>
          </w:p>
        </w:tc>
        <w:tc>
          <w:tcPr>
            <w:tcW w:w="155"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17,428,266</w:t>
            </w:r>
            <w:r>
              <w:rPr>
                <w:color w:val="000000"/>
              </w:rPr>
              <w:t> </w:t>
            </w:r>
          </w:p>
        </w:tc>
        <w:tc>
          <w:tcPr>
            <w:tcW w:w="2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872</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37,439</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(165)</w:t>
            </w:r>
          </w:p>
        </w:tc>
        <w:tc>
          <w:tcPr>
            <w:tcW w:w="173"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60,559</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99,180</w:t>
            </w:r>
            <w:r>
              <w:rPr>
                <w:color w:val="000000"/>
              </w:rPr>
              <w:t> </w:t>
            </w:r>
          </w:p>
        </w:tc>
        <w:tc>
          <w:tcPr>
            <w:tcW w:w="172"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1"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CHANGES IN SHAREHOLDERS’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6568" w:type="dxa"/>
        <w:jc w:val="left"/>
        <w:tblInd w:w="0" w:type="dxa"/>
        <w:tblLayout w:type="fixed"/>
        <w:tblCellMar>
          <w:top w:w="28" w:type="dxa"/>
          <w:left w:w="28" w:type="dxa"/>
          <w:bottom w:w="28" w:type="dxa"/>
          <w:right w:w="28" w:type="dxa"/>
        </w:tblCellMar>
      </w:tblPr>
      <w:tblGrid>
        <w:gridCol w:w="460"/>
        <w:gridCol w:w="167"/>
        <w:gridCol w:w="169"/>
        <w:gridCol w:w="109"/>
        <w:gridCol w:w="109"/>
        <w:gridCol w:w="109"/>
        <w:gridCol w:w="109"/>
        <w:gridCol w:w="109"/>
        <w:gridCol w:w="109"/>
        <w:gridCol w:w="213"/>
        <w:gridCol w:w="213"/>
        <w:gridCol w:w="220"/>
        <w:gridCol w:w="109"/>
        <w:gridCol w:w="109"/>
        <w:gridCol w:w="109"/>
        <w:gridCol w:w="166"/>
        <w:gridCol w:w="436"/>
        <w:gridCol w:w="109"/>
        <w:gridCol w:w="109"/>
        <w:gridCol w:w="109"/>
        <w:gridCol w:w="109"/>
        <w:gridCol w:w="194"/>
        <w:gridCol w:w="194"/>
        <w:gridCol w:w="198"/>
        <w:gridCol w:w="109"/>
        <w:gridCol w:w="109"/>
        <w:gridCol w:w="109"/>
        <w:gridCol w:w="166"/>
        <w:gridCol w:w="406"/>
        <w:gridCol w:w="109"/>
        <w:gridCol w:w="109"/>
        <w:gridCol w:w="109"/>
        <w:gridCol w:w="109"/>
        <w:gridCol w:w="214"/>
        <w:gridCol w:w="214"/>
        <w:gridCol w:w="218"/>
        <w:gridCol w:w="109"/>
        <w:gridCol w:w="109"/>
        <w:gridCol w:w="109"/>
        <w:gridCol w:w="166"/>
        <w:gridCol w:w="406"/>
        <w:gridCol w:w="109"/>
        <w:gridCol w:w="109"/>
        <w:gridCol w:w="109"/>
        <w:gridCol w:w="109"/>
        <w:gridCol w:w="210"/>
        <w:gridCol w:w="196"/>
        <w:gridCol w:w="180"/>
        <w:gridCol w:w="109"/>
        <w:gridCol w:w="109"/>
        <w:gridCol w:w="109"/>
        <w:gridCol w:w="166"/>
        <w:gridCol w:w="406"/>
        <w:gridCol w:w="109"/>
        <w:gridCol w:w="109"/>
        <w:gridCol w:w="109"/>
        <w:gridCol w:w="109"/>
        <w:gridCol w:w="216"/>
        <w:gridCol w:w="333"/>
        <w:gridCol w:w="142"/>
        <w:gridCol w:w="109"/>
        <w:gridCol w:w="109"/>
        <w:gridCol w:w="109"/>
        <w:gridCol w:w="676"/>
        <w:gridCol w:w="327"/>
        <w:gridCol w:w="166"/>
        <w:gridCol w:w="406"/>
        <w:gridCol w:w="109"/>
        <w:gridCol w:w="327"/>
        <w:gridCol w:w="166"/>
        <w:gridCol w:w="556"/>
        <w:gridCol w:w="109"/>
        <w:gridCol w:w="327"/>
        <w:gridCol w:w="212"/>
        <w:gridCol w:w="443"/>
        <w:gridCol w:w="141"/>
        <w:gridCol w:w="327"/>
        <w:gridCol w:w="166"/>
        <w:gridCol w:w="496"/>
        <w:gridCol w:w="109"/>
        <w:gridCol w:w="327"/>
        <w:gridCol w:w="166"/>
        <w:gridCol w:w="556"/>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Class A</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Class B</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Treasury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Subscription</w:t>
              <w:br/>
              <w:t>receivable</w:t>
              <w:br/>
              <w:t>from</w:t>
              <w:br/>
              <w:t>ordinary</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 xml:space="preserve">Preferred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0"/>
              </w:rPr>
            </w:pPr>
            <w:r>
              <w:rPr>
                <w:rFonts w:ascii="Times New Roman;sans-serif" w:hAnsi="Times New Roman;sans-serif"/>
                <w:b/>
                <w:color w:val="000000"/>
                <w:sz w:val="10"/>
              </w:rPr>
              <w:t>Total</w:t>
              <w:br/>
              <w:t>shareholders’</w:t>
              <w:br/>
              <w:t xml:space="preserve">equity </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Number of</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Number of</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Number of</w:t>
              <w:br/>
              <w:t>ordinary</w:t>
              <w:b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Number of</w:t>
              <w:br/>
              <w:t>ordinary</w:t>
              <w:b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Number of</w:t>
              <w:br/>
              <w:t>preferred</w:t>
              <w:b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Balance as of January 1, 2022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3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11,082,930</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554 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33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(79)</w:t>
            </w:r>
          </w:p>
        </w:tc>
        <w:tc>
          <w:tcPr>
            <w:tcW w:w="1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17,428,266</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0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872 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5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37,439 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4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(165)</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49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60,559 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w:t>
            </w:r>
          </w:p>
        </w:tc>
        <w:tc>
          <w:tcPr>
            <w:tcW w:w="55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99,180 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23,972 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Share-based compensation</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14, 15, 16</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9,893 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9,893 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Exercise of vested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(141,864)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Accretion of Series E Preferred Shares</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(941)</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(941)</w:t>
            </w:r>
          </w:p>
        </w:tc>
        <w:tc>
          <w:tcPr>
            <w:tcW w:w="154" w:type="dxa"/>
            <w:tcBorders/>
            <w:shd w:fill="CCEC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Issuance of ordinary shares to the former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26,738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Issuance of ordinary shares to the Trust Holdcos</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4,765,903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238 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4,765,903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(238)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Issuance of Class A ordinary shares upon the IPO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3,381,000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33,438 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Re-designating ordinary shares to Class B ordinary shares</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7,755,689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388 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(7,755,689)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(388)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Re-designating ordinary shares to Class A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8,119,882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(8,119,882)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Conversion of Preferred Shares to Class B ordinary shares</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1,571,043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(1,571,043)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Conversion of Preferred Shares to Class A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15,857,223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(15,857,223)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0"/>
              </w:rPr>
            </w:pPr>
            <w:r>
              <w:rPr>
                <w:rFonts w:ascii="Times New Roman;sans-serif" w:hAnsi="Times New Roman;sans-serif"/>
                <w:b w:val="false"/>
                <w:color w:val="000000"/>
                <w:sz w:val="10"/>
              </w:rPr>
              <w:t>Conversion of Series E Preferred Shares to Class A ordinary shares</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3,999,709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199 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27,394 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27,593 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0"/>
              </w:rPr>
            </w:pPr>
            <w:r>
              <w:rPr>
                <w:rFonts w:ascii="Times New Roman;sans-serif" w:hAnsi="Times New Roman;sans-serif"/>
                <w:b w:val="false"/>
                <w:color w:val="000000"/>
                <w:sz w:val="10"/>
              </w:rPr>
              <w:t>Foreign currency translation adjustment, net of nil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969 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0"/>
              </w:rPr>
            </w:pPr>
            <w:r>
              <w:rPr>
                <w:rFonts w:ascii="Times New Roman;sans-serif" w:hAnsi="Times New Roman;sans-serif"/>
                <w:b w:val="false"/>
                <w:color w:val="000000"/>
                <w:sz w:val="10"/>
              </w:rPr>
              <w:t>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Balance as of December 31, 2022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0"/>
              </w:rPr>
            </w:pPr>
            <w:r>
              <w:rPr>
                <w:rFonts w:ascii="Times New Roman;sans-serif" w:hAnsi="Times New Roman;sans-serif"/>
                <w:b/>
                <w:color w:val="000000"/>
                <w:sz w:val="10"/>
              </w:rPr>
              <w:t>31,357,814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43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0"/>
              </w:rPr>
              <w:t>1,568</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0"/>
              </w:rPr>
            </w:pPr>
            <w:r>
              <w:rPr>
                <w:rFonts w:ascii="Times New Roman;sans-serif" w:hAnsi="Times New Roman;sans-serif"/>
                <w:b/>
                <w:color w:val="000000"/>
                <w:sz w:val="10"/>
              </w:rPr>
              <w:t>9,326,732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40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0"/>
              </w:rPr>
              <w:t>466</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40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0"/>
              </w:rPr>
            </w:pPr>
            <w:r>
              <w:rPr>
                <w:rFonts w:ascii="Times New Roman;sans-serif" w:hAnsi="Times New Roman;sans-serif"/>
                <w:b/>
                <w:color w:val="000000"/>
                <w:sz w:val="10"/>
              </w:rPr>
              <w:t>4,624,039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40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0"/>
              </w:rPr>
            </w:pPr>
            <w:r>
              <w:rPr>
                <w:rFonts w:ascii="Times New Roman;sans-serif" w:hAnsi="Times New Roman;sans-serif"/>
                <w:b/>
                <w:color w:val="000000"/>
                <w:sz w:val="10"/>
              </w:rPr>
              <w:t>(231)</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333"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0"/>
              </w:rPr>
            </w:pPr>
            <w:r>
              <w:rPr>
                <w:rFonts w:ascii="Times New Roman;sans-serif" w:hAnsi="Times New Roman;sans-serif"/>
                <w:b/>
                <w:color w:val="000000"/>
                <w:sz w:val="10"/>
              </w:rPr>
              <w:t>(81)</w:t>
            </w:r>
          </w:p>
        </w:tc>
        <w:tc>
          <w:tcPr>
            <w:tcW w:w="142"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40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55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0"/>
              </w:rPr>
              <w:t>109,049</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443"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0"/>
              </w:rPr>
              <w:t>804</w:t>
            </w:r>
            <w:r>
              <w:rPr>
                <w:color w:val="000000"/>
              </w:rPr>
              <w:t> </w:t>
            </w:r>
          </w:p>
        </w:tc>
        <w:tc>
          <w:tcPr>
            <w:tcW w:w="14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4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0"/>
              </w:rPr>
              <w:t>83,590</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0"/>
              </w:rPr>
            </w:pPr>
            <w:r>
              <w:rPr>
                <w:rFonts w:ascii="Times New Roman;sans-serif" w:hAnsi="Times New Roman;sans-serif"/>
                <w:b/>
                <w:color w:val="000000"/>
                <w:sz w:val="10"/>
              </w:rPr>
              <w:t>$</w:t>
            </w:r>
          </w:p>
        </w:tc>
        <w:tc>
          <w:tcPr>
            <w:tcW w:w="55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0"/>
              </w:rPr>
              <w:t>195,165</w:t>
            </w:r>
            <w:r>
              <w:rPr>
                <w:color w:val="000000"/>
              </w:rPr>
              <w:t> </w:t>
            </w:r>
          </w:p>
        </w:tc>
        <w:tc>
          <w:tcPr>
            <w:tcW w:w="154"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2"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CHANGES IN SHAREHOLDERS’ EQUITY </w:t>
      </w:r>
    </w:p>
    <w:p>
      <w:pPr>
        <w:pStyle w:val="TextBody"/>
        <w:bidi w:val="0"/>
        <w:spacing w:lineRule="auto" w:line="288" w:before="0" w:after="0"/>
        <w:jc w:val="center"/>
        <w:rPr/>
      </w:pPr>
      <w:r>
        <w:rPr>
          <w:rFonts w:ascii="Times New Roman;sans-serif" w:hAnsi="Times New Roman;sans-serif"/>
          <w:b/>
          <w:color w:val="000000"/>
          <w:sz w:val="20"/>
        </w:rPr>
        <w:t>(In thousands except for share data</w:t>
      </w:r>
      <w:r>
        <w:rPr>
          <w:rFonts w:ascii="Times New Roman;sans-serif" w:hAnsi="Times New Roman;sans-serif"/>
          <w:b w:val="false"/>
          <w:color w:val="000000"/>
          <w:sz w:val="20"/>
        </w:rPr>
        <w:t>)</w:t>
      </w:r>
    </w:p>
    <w:p>
      <w:pPr>
        <w:pStyle w:val="TextBody"/>
        <w:bidi w:val="0"/>
        <w:spacing w:before="0" w:after="0"/>
        <w:jc w:val="center"/>
        <w:rPr/>
      </w:pPr>
      <w:r>
        <w:rPr/>
      </w:r>
    </w:p>
    <w:tbl>
      <w:tblPr>
        <w:tblW w:w="14317" w:type="dxa"/>
        <w:jc w:val="center"/>
        <w:tblInd w:w="0" w:type="dxa"/>
        <w:tblLayout w:type="fixed"/>
        <w:tblCellMar>
          <w:top w:w="28" w:type="dxa"/>
          <w:left w:w="28" w:type="dxa"/>
          <w:bottom w:w="28" w:type="dxa"/>
          <w:right w:w="28" w:type="dxa"/>
        </w:tblCellMar>
      </w:tblPr>
      <w:tblGrid>
        <w:gridCol w:w="528"/>
        <w:gridCol w:w="201"/>
        <w:gridCol w:w="202"/>
        <w:gridCol w:w="125"/>
        <w:gridCol w:w="125"/>
        <w:gridCol w:w="126"/>
        <w:gridCol w:w="109"/>
        <w:gridCol w:w="109"/>
        <w:gridCol w:w="109"/>
        <w:gridCol w:w="431"/>
        <w:gridCol w:w="200"/>
        <w:gridCol w:w="201"/>
        <w:gridCol w:w="109"/>
        <w:gridCol w:w="109"/>
        <w:gridCol w:w="109"/>
        <w:gridCol w:w="181"/>
        <w:gridCol w:w="496"/>
        <w:gridCol w:w="109"/>
        <w:gridCol w:w="109"/>
        <w:gridCol w:w="109"/>
        <w:gridCol w:w="109"/>
        <w:gridCol w:w="290"/>
        <w:gridCol w:w="200"/>
        <w:gridCol w:w="201"/>
        <w:gridCol w:w="109"/>
        <w:gridCol w:w="109"/>
        <w:gridCol w:w="109"/>
        <w:gridCol w:w="181"/>
        <w:gridCol w:w="391"/>
        <w:gridCol w:w="109"/>
        <w:gridCol w:w="109"/>
        <w:gridCol w:w="109"/>
        <w:gridCol w:w="109"/>
        <w:gridCol w:w="536"/>
        <w:gridCol w:w="200"/>
        <w:gridCol w:w="201"/>
        <w:gridCol w:w="109"/>
        <w:gridCol w:w="109"/>
        <w:gridCol w:w="109"/>
        <w:gridCol w:w="181"/>
        <w:gridCol w:w="481"/>
        <w:gridCol w:w="109"/>
        <w:gridCol w:w="109"/>
        <w:gridCol w:w="109"/>
        <w:gridCol w:w="109"/>
        <w:gridCol w:w="226"/>
        <w:gridCol w:w="508"/>
        <w:gridCol w:w="137"/>
        <w:gridCol w:w="109"/>
        <w:gridCol w:w="109"/>
        <w:gridCol w:w="109"/>
        <w:gridCol w:w="181"/>
        <w:gridCol w:w="646"/>
        <w:gridCol w:w="109"/>
        <w:gridCol w:w="109"/>
        <w:gridCol w:w="109"/>
        <w:gridCol w:w="109"/>
        <w:gridCol w:w="263"/>
        <w:gridCol w:w="568"/>
        <w:gridCol w:w="160"/>
        <w:gridCol w:w="109"/>
        <w:gridCol w:w="109"/>
        <w:gridCol w:w="109"/>
        <w:gridCol w:w="181"/>
        <w:gridCol w:w="646"/>
        <w:gridCol w:w="109"/>
        <w:gridCol w:w="327"/>
        <w:gridCol w:w="181"/>
        <w:gridCol w:w="646"/>
        <w:gridCol w:w="154"/>
      </w:tblGrid>
      <w:tr>
        <w:trPr/>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Class A</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Class B</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Subscription receivable from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shareholders'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Number of ordinary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Number of ordinary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Number of ordinary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January 1, 2023</w:t>
            </w:r>
          </w:p>
        </w:tc>
        <w:tc>
          <w:tcPr>
            <w:tcW w:w="3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31,357,814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1,568</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9,326,732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466</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4,624,039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8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(231)</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08"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(81)</w:t>
            </w:r>
          </w:p>
        </w:tc>
        <w:tc>
          <w:tcPr>
            <w:tcW w:w="13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109,049</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68"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804</w:t>
            </w:r>
            <w:r>
              <w:rPr>
                <w:color w:val="000000"/>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83,590</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195,165</w:t>
            </w: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94,108</w:t>
            </w:r>
          </w:p>
        </w:tc>
      </w:tr>
      <w:tr>
        <w:trPr/>
        <w:tc>
          <w:tcPr>
            <w:tcW w:w="9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held for share-based compensation</w:t>
            </w:r>
          </w:p>
        </w:tc>
        <w:tc>
          <w:tcPr>
            <w:tcW w:w="3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68,283 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(4,613,494)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3,015</w:t>
            </w:r>
          </w:p>
        </w:tc>
      </w:tr>
      <w:tr>
        <w:trPr/>
        <w:tc>
          <w:tcPr>
            <w:tcW w:w="9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repurchase</w:t>
            </w:r>
          </w:p>
        </w:tc>
        <w:tc>
          <w:tcPr>
            <w:tcW w:w="37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(215,201)</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215,201 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(1,594)</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(1,594)</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 net of nil income taxes</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2023</w:t>
            </w:r>
          </w:p>
        </w:tc>
        <w:tc>
          <w:tcPr>
            <w:tcW w:w="3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31,455,148</w:t>
            </w:r>
          </w:p>
        </w:tc>
        <w:tc>
          <w:tcPr>
            <w:tcW w:w="327" w:type="dxa"/>
            <w:gridSpan w:val="3"/>
            <w:tcBorders>
              <w:top w:val="single" w:sz="16" w:space="0" w:color="000000"/>
              <w:bottom w:val="single" w:sz="16"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1,584</w:t>
            </w:r>
            <w:r>
              <w:rPr>
                <w:color w:val="000000"/>
              </w:rPr>
              <w:t> </w:t>
            </w:r>
          </w:p>
        </w:tc>
        <w:tc>
          <w:tcPr>
            <w:tcW w:w="109"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9,326,732</w:t>
            </w:r>
          </w:p>
        </w:tc>
        <w:tc>
          <w:tcPr>
            <w:tcW w:w="327" w:type="dxa"/>
            <w:gridSpan w:val="3"/>
            <w:tcBorders>
              <w:top w:val="single" w:sz="16" w:space="0" w:color="000000"/>
              <w:bottom w:val="single" w:sz="16"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466</w:t>
            </w:r>
            <w:r>
              <w:rPr>
                <w:color w:val="000000"/>
              </w:rPr>
              <w:t> </w:t>
            </w:r>
          </w:p>
        </w:tc>
        <w:tc>
          <w:tcPr>
            <w:tcW w:w="109"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294,029</w:t>
            </w:r>
          </w:p>
        </w:tc>
        <w:tc>
          <w:tcPr>
            <w:tcW w:w="327" w:type="dxa"/>
            <w:gridSpan w:val="3"/>
            <w:tcBorders>
              <w:top w:val="single" w:sz="16" w:space="0" w:color="000000"/>
              <w:bottom w:val="single" w:sz="16"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8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(1,594)</w:t>
            </w:r>
          </w:p>
        </w:tc>
        <w:tc>
          <w:tcPr>
            <w:tcW w:w="109"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08"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111,736</w:t>
            </w:r>
            <w:r>
              <w:rPr>
                <w:color w:val="000000"/>
              </w:rPr>
              <w:t> </w:t>
            </w:r>
          </w:p>
        </w:tc>
        <w:tc>
          <w:tcPr>
            <w:tcW w:w="109"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68"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526</w:t>
            </w:r>
            <w:r>
              <w:rPr>
                <w:color w:val="000000"/>
              </w:rPr>
              <w:t> </w:t>
            </w:r>
          </w:p>
        </w:tc>
        <w:tc>
          <w:tcPr>
            <w:tcW w:w="160"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177,698</w:t>
            </w:r>
            <w:r>
              <w:rPr>
                <w:color w:val="000000"/>
              </w:rPr>
              <w:t> </w:t>
            </w:r>
          </w:p>
        </w:tc>
        <w:tc>
          <w:tcPr>
            <w:tcW w:w="109"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290,416</w:t>
            </w:r>
            <w:r>
              <w:rPr>
                <w:color w:val="000000"/>
              </w:rPr>
              <w:t> </w:t>
            </w:r>
          </w:p>
        </w:tc>
        <w:tc>
          <w:tcPr>
            <w:tcW w:w="154" w:type="dxa"/>
            <w:tcBorders>
              <w:top w:val="single" w:sz="16" w:space="0" w:color="000000"/>
              <w:bottom w:val="single" w:sz="16"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3"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bookmarkStart w:id="4" w:name="ibb4f6b13da844efcb85fd0a7900779c5_344"/>
      <w:bookmarkEnd w:id="4"/>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97"/>
        <w:gridCol w:w="2001"/>
        <w:gridCol w:w="2014"/>
        <w:gridCol w:w="211"/>
        <w:gridCol w:w="721"/>
        <w:gridCol w:w="109"/>
        <w:gridCol w:w="109"/>
        <w:gridCol w:w="109"/>
        <w:gridCol w:w="109"/>
        <w:gridCol w:w="211"/>
        <w:gridCol w:w="721"/>
        <w:gridCol w:w="109"/>
        <w:gridCol w:w="109"/>
        <w:gridCol w:w="109"/>
        <w:gridCol w:w="109"/>
        <w:gridCol w:w="211"/>
        <w:gridCol w:w="791"/>
        <w:gridCol w:w="155"/>
      </w:tblGrid>
      <w:tr>
        <w:trPr/>
        <w:tc>
          <w:tcPr>
            <w:tcW w:w="229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3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Adjustments to reconcile net income to net cash provided by operating activities:</w:t>
            </w:r>
          </w:p>
        </w:tc>
        <w:tc>
          <w:tcPr>
            <w:tcW w:w="104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disposal of property and equipment</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exchange gains (losses)</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of capital leases (ASC 840)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operating assets and liabilities, net of businesses acquired:</w:t>
            </w:r>
          </w:p>
        </w:tc>
        <w:tc>
          <w:tcPr>
            <w:tcW w:w="104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(16,514)</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26,024 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3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8,556</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49,656</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133,452</w:t>
            </w:r>
            <w:r>
              <w:rPr>
                <w:color w:val="000000"/>
              </w:rPr>
              <w:t> </w:t>
            </w:r>
          </w:p>
        </w:tc>
        <w:tc>
          <w:tcPr>
            <w:tcW w:w="15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 of property and equipment</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(86,629)</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(1,825)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(709)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(90,547)</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GigaCloud Technology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2269"/>
        <w:gridCol w:w="1984"/>
        <w:gridCol w:w="1997"/>
        <w:gridCol w:w="366"/>
        <w:gridCol w:w="370"/>
        <w:gridCol w:w="176"/>
        <w:gridCol w:w="148"/>
        <w:gridCol w:w="148"/>
        <w:gridCol w:w="148"/>
        <w:gridCol w:w="418"/>
        <w:gridCol w:w="423"/>
        <w:gridCol w:w="176"/>
        <w:gridCol w:w="148"/>
        <w:gridCol w:w="148"/>
        <w:gridCol w:w="148"/>
        <w:gridCol w:w="446"/>
        <w:gridCol w:w="452"/>
        <w:gridCol w:w="240"/>
      </w:tblGrid>
      <w:tr>
        <w:trPr/>
        <w:tc>
          <w:tcPr>
            <w:tcW w:w="226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12"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finance lease obligations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bank loans</w:t>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24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share repurchase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prepaid consideration of restricted shares</w:t>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initial public offering, net of IPO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73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(2,956)</w:t>
            </w:r>
          </w:p>
        </w:tc>
        <w:tc>
          <w:tcPr>
            <w:tcW w:w="17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31,887</w:t>
            </w:r>
            <w:r>
              <w:rPr>
                <w:color w:val="000000"/>
              </w:rPr>
              <w:t> </w:t>
            </w:r>
          </w:p>
        </w:tc>
        <w:tc>
          <w:tcPr>
            <w:tcW w:w="17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(4,003)</w:t>
            </w:r>
          </w:p>
        </w:tc>
        <w:tc>
          <w:tcPr>
            <w:tcW w:w="24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restricted cash</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and restricted cash</w:t>
            </w:r>
          </w:p>
        </w:tc>
        <w:tc>
          <w:tcPr>
            <w:tcW w:w="73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1,665</w:t>
            </w:r>
            <w:r>
              <w:rPr>
                <w:color w:val="000000"/>
              </w:rPr>
              <w:t> </w:t>
            </w:r>
          </w:p>
        </w:tc>
        <w:tc>
          <w:tcPr>
            <w:tcW w:w="17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81,214</w:t>
            </w:r>
            <w:r>
              <w:rPr>
                <w:color w:val="000000"/>
              </w:rPr>
              <w:t> </w:t>
            </w:r>
          </w:p>
        </w:tc>
        <w:tc>
          <w:tcPr>
            <w:tcW w:w="17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39,092</w:t>
            </w:r>
            <w:r>
              <w:rPr>
                <w:color w:val="000000"/>
              </w:rPr>
              <w:t> </w:t>
            </w:r>
          </w:p>
        </w:tc>
        <w:tc>
          <w:tcPr>
            <w:tcW w:w="24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the beginning of the year</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145,076 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the end of the year</w:t>
            </w:r>
          </w:p>
        </w:tc>
        <w:tc>
          <w:tcPr>
            <w:tcW w:w="73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63,862</w:t>
            </w:r>
            <w:r>
              <w:rPr>
                <w:color w:val="000000"/>
              </w:rPr>
              <w:t> </w:t>
            </w:r>
          </w:p>
        </w:tc>
        <w:tc>
          <w:tcPr>
            <w:tcW w:w="17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145,076</w:t>
            </w:r>
            <w:r>
              <w:rPr>
                <w:color w:val="000000"/>
              </w:rPr>
              <w:t> </w:t>
            </w:r>
          </w:p>
        </w:tc>
        <w:tc>
          <w:tcPr>
            <w:tcW w:w="17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184,168</w:t>
            </w:r>
            <w:r>
              <w:rPr>
                <w:color w:val="000000"/>
              </w:rPr>
              <w:t> </w:t>
            </w:r>
          </w:p>
        </w:tc>
        <w:tc>
          <w:tcPr>
            <w:tcW w:w="24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9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w:t>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24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91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under finance leases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awards attributable to the IPO where no cash payment is required</w:t>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subscription receivable from ordinary shares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acquired by acquisition</w:t>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273,086</w:t>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business combinations and asset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87,568</w:t>
            </w:r>
          </w:p>
        </w:tc>
      </w:tr>
      <w:tr>
        <w:trPr/>
        <w:tc>
          <w:tcPr>
            <w:tcW w:w="625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 by acquisition</w:t>
            </w:r>
          </w:p>
        </w:tc>
        <w:tc>
          <w:tcPr>
            <w:tcW w:w="73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(185,518)</w:t>
            </w:r>
          </w:p>
        </w:tc>
        <w:tc>
          <w:tcPr>
            <w:tcW w:w="24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5"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 w:name="ie7a474b4b5d24affa4947a79b2a7e9ef_12006"/>
      <w:bookmarkEnd w:id="5"/>
      <w:r>
        <w:rPr>
          <w:rFonts w:ascii="Times New Roman;sans-serif" w:hAnsi="Times New Roman;sans-serif"/>
          <w:b/>
          <w:color w:val="000000"/>
          <w:sz w:val="20"/>
        </w:rPr>
        <w:t xml:space="preserve">1. DESCRIPTION OF BUSINESS AND ORGANIZATION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Description of Business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GigaCloud Technology Inc (the “Company”), a limited liability company based in the Cayman Islands, with its subsidiaries and consolidated variable interest entities (“VIEs”) (collectively referred to as the “Group”, "we" or "our") are principally engaged in large parcel merchandise sales and the provision of ecommerce solutions for small cross-border business owners utilizing the Company’s online platform (“GigaCloud Marketplace”) and warehouses primarily located in the United States, Japan and Europe.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Organization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financial statements of the Company, its subsidiaries and consolidated VIEs.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and 2018, the Company entered into Account Control Agreements with its VIEs and their respective nominal shareholders in the United States, Japan, the United Kingdom, Germany and the People’s Republic of China (“China” or “PRC”), respectively, to facilitate operations in these jurisdictions.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functions of the VIEs include operating accounts registered on third-party ecommerce websites to sell merchandise to local individual customers, or providing warehousing and logistic services to users’ registered on GigaCloud Marketplace, by utilizing the Group’s cross-border trading experience, international logistic network and the Company’s own online platform. All of the VIEs’ nominal shareholders are employees of the Group. The Company has funded, through either direct capital contribution or intercompany loans, substantially all of the VIEs’ capital and operational funds. The Company has information right, management right and control right of daily operation of the VIEs.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 Control Agreements, with the consolidated VIEs and their shareholders, allow the Company to (i) exercise effective control over the consolidated VIEs, (ii) receive substantially all of the economic benefits of the consolidated VIEs, and (iii) have an exclusive option to purchase all or part of the equity interests in the consolidated VIEs when and to the extent permitted by the applicable laws.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regarded as the primary beneficiary of the consolidated VIEs, and the Company treats the VIEs as consolidated entities under U.S. GAAP. The Company has consolidated the financial results of the VIEs in the consolidated financial statements in accordance with U.S. GAAP. However, the control over the VIEs through contractual arrangements may not be as effective as direct ownership. In addition, uncertainties exist as to whether the Company’s operation of the business in these jurisdictions through the consolidated VIEs would be found not in compliance with existing or future respective local laws.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equity interests of the VIEs are legally held by their nominee shareholders. Through the Account Control Agreements, which were entered into among the Company, the VIEs and the nominee shareholders of the VIEs, the nominee shareholders of the VIEs have granted all their legal rights including voting rights and disposition rights of their equity interests in the VIEs to the Company. The nominee shareholders of the VIEs do not participate significantly in income and loss and do not have the power to direct the activities of the VIEs that most significantly impact their economic performance. Accordingly, the VIEs are considered variable interest entities.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Account Control Agreements, the VIEs’ nominee shareholders have no rights to the net assets nor have the obligations to fund the deficit, and such rights and obligations have been vested to the Company. All of the deficit (net liabilities) and net loss of the VIEs are attributed to the Company.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terms of the Account Control Agreements are as follows: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1) Account Management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shall be entitled to information rights, management rights and control rights of daily operation of the VIEs, especially with respect to all of the bank accounts and operating accounts with relevant e-commerce platforms established or to be established in the name of, or for the benefit of the VIEs.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6"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VIEs and their shareholders shall act in good faith under instructions of the Company and shall not damage the control and management of the Company or affect its financial results and consolidation of such result.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 Sale and Purchase of Equity Interest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irrevocable and exclusive right to purchase the equity interests in the VIEs held by each shareholder of such VIEs, once or at multiple times at any time in part or in whole, at the Company’s sole discretion. Except for the Company and its designee(s), no other person shall be entitled to such option or other rights to purchase the equity interests in the VIEs held by the shareholders of the VIEs.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shall be the minimum price permitted by the local applicable laws. Pursuant to the Account Control Agreements, the VIEs and their shareholders shall not terminate the control agreement unilaterally in any event unless otherwise required by applicable laws.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3) Power of Attorney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sole and exclusive power of attorney to act on behalf of each shareholder of the VIEs with respect to all rights and matters concerning all equity interest held by such shareholder including exercising all of the shareholder’s rights and voting rights; deciding the sale, transfer, pledge or disposition of the shares of the VIEs; representing the shareholder to execute any resolutions and minutes as a shareholder (and director) of the VIEs; approving the amendments to the articles of association without written consent of such shareholder; approving any change of the share capital of the VIEs; appoint directors to the VIEs at the discretion of the Company.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shareholder of the VIEs waives all rights with respect to the equity interests in the VIEs held by him/her and shall not exercise such rights by himself/herself.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4) Equity Pledge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VIEs’ shareholders agree to pledge all the equity interests to the Company as security for performance of the contract obligations under the Account Control Agreements. The VIEs and their shareholders shall complete all necessary registration and/or filings relating to the equity pledges required by the applicable laws in one month after the execution of the Account Control Agreements.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term of the Account Control Agreement, the VIEs and their shareholders shall deliver the share certificate or the like to the Company’s escrow within one week after the execution of the Account Control Agreements. In the event of the occurrence of any change of the share capital or the entrusted shareholding of the VIEs, the VIEs and their shareholders shall update the registration and/or filings relating to the equity pledges required by the applicable laws and deliver the updated share certificate or the like to the Company’s escrow.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5) Effective Date and Term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 Control Agreements became effective upon execution by the parties, and remain effective until all equity interests held by the VIEs’ shareholders have been transferred or assigned to the Company in accordance with the Account Control Agreements.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relies on the Account Control Agreements to operate and control VIEs. All of the Account Control Agreements are governed by local laws and provide for the resolution of disputes through arbitration under local laws. Accordingly, these agreements would be interpreted in accordance with local laws and any disputes would be resolved in accordance with local legal procedures. Uncertainties in the local legal system could limit the Company’s ability to enforce these contractual arrangements. In the event that the Company is unable to enforce these contractual arrangements, or if the Company suffers significant time delays or other obstacles in the process of enforcing these Account Control Agreements, it would be difficult to exert effective control over VIEs, and the Company’s ability to conduct its business and the results of operations and financial condition may be materially and adversely affected.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ownership structures of the Company and its VIEs, do not violate any applicable local laws, regulations, or rules currently in effect; the agreements among the Company, each of the VIEs and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7"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governed by local laws, as described above, are valid, binding and enforceable in accordance with their terms and applicable local laws, rules, and regulations currently in effect, and do not violate any applicable local laws, regulations, or rules currently in effect. However, there are substantial uncertainties regarding the interpretation and application of current and future local laws and regulations. Accordingly, if the local government finds that the contractual arrangements do not comply with its restrictions on foreign ownership of businesses, or if the local government otherwise finds that the Company and the VIEs are in violation of local laws or regulations or lack the necessary permits or licenses to operate the Company’s business, the relevant regulatory authorities would have broad discretion in dealing with such violations, including: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revoking the business and operating licenses of the Company;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discontinuing or restricting the operations;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imposing fines or confiscating any of VIEs’ income that they deem to have been obtained through illegal operations;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imposing conditions or requirements with which the Group’s subsidiaries or the VIEs may not be able to comply;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requiring the Company to restructure the ownership structure or operations, including terminating the contractual arrangements with the VIEs;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restricting or prohibiting the Company’s use of the proceeds of overseas offering to finance the business and operations in these jurisdictions; or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taking other regulatory or enforcement actions that could be harmful to the business.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imposition of any of these penalties or requirement to restructure the Company’s corporate structure causes it to lose the rights to direct the activities of the VIEs or the Company’s right to receive its economic benefits, the Company would no longer be able to consolidate the financial results of the VIEs in its consolidated financial statements. In the opinion of management, the likelihood of deconsolidation of the VIEs is remote based on current facts and circumstances.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the Company terminated the Account Control Agreement with one of its consolidated VIEs, Suzhou Dajianyun Transport Co., Ltd. (“Suzhou Dajianyun”). In connection with the termination of the Account Control Agreement, the Company, through its wholly-owned subsidiary GigaCloud Technology (Suzhou) Co., Ltd. (“Gigacloud Suzhou”, formerly known as Oriental Standard Network Technology (Suzhou) Co., Ltd.), acquired 100% of the equity interest in Suzhou Dajianyun which then became the Company’s indirect wholly-owned subsidiary.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terminated the Account Control Agreements with two of its consolidated VIEs, Blitz Distribution GMBH and GIGA CLOUD LOGISTICS INC. In connection with the termination of the Account Control Agreement, the Company acquired 100% of the equity interest in these two companies which then became the Company’s direct wholly-owned subsidiary.</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involvement with the VIEs under the Account Control Agreements affected the Company’s consolidated financial position, results of operations and cash flows as indicated below. The following consolidated assets and liabilities information of the Group’s VIEs as of December 31, 2022 and 2023, and consolidated revenues,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8"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cash flow information for the years ended December 31, 2021, 2022 and 2023 have been included in the accompanying consolidated financial statements.</w:t>
      </w:r>
    </w:p>
    <w:tbl>
      <w:tblPr>
        <w:tblW w:w="6309" w:type="dxa"/>
        <w:jc w:val="center"/>
        <w:tblInd w:w="0" w:type="dxa"/>
        <w:tblLayout w:type="fixed"/>
        <w:tblCellMar>
          <w:top w:w="28" w:type="dxa"/>
          <w:left w:w="28" w:type="dxa"/>
          <w:bottom w:w="28" w:type="dxa"/>
          <w:right w:w="28" w:type="dxa"/>
        </w:tblCellMar>
      </w:tblPr>
      <w:tblGrid>
        <w:gridCol w:w="1381"/>
        <w:gridCol w:w="1212"/>
        <w:gridCol w:w="1232"/>
        <w:gridCol w:w="211"/>
        <w:gridCol w:w="736"/>
        <w:gridCol w:w="109"/>
        <w:gridCol w:w="109"/>
        <w:gridCol w:w="109"/>
        <w:gridCol w:w="109"/>
        <w:gridCol w:w="211"/>
        <w:gridCol w:w="73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related parties*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32,118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27,239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35,139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47" w:type="dxa"/>
            <w:gridSpan w:val="2"/>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09" w:type="dxa"/>
            <w:tcBorders>
              <w:top w:val="doub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11,563 </w:t>
            </w:r>
          </w:p>
        </w:tc>
        <w:tc>
          <w:tcPr>
            <w:tcW w:w="154" w:type="dxa"/>
            <w:tcBorders>
              <w:top w:val="doub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related parties*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31,328</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32,795</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34,650</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33,348</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2023, amounts due to and due from related parties represent the loans, receivables and payables that the VIEs had with the Company’s consolidated subsidiaries, which were eliminated in the Company’s consolidated financial statements. </w:t>
      </w:r>
    </w:p>
    <w:tbl>
      <w:tblPr>
        <w:tblW w:w="8021" w:type="dxa"/>
        <w:jc w:val="center"/>
        <w:tblInd w:w="0" w:type="dxa"/>
        <w:tblLayout w:type="fixed"/>
        <w:tblCellMar>
          <w:top w:w="28" w:type="dxa"/>
          <w:left w:w="28" w:type="dxa"/>
          <w:bottom w:w="28" w:type="dxa"/>
          <w:right w:w="28" w:type="dxa"/>
        </w:tblCellMar>
      </w:tblPr>
      <w:tblGrid>
        <w:gridCol w:w="1522"/>
        <w:gridCol w:w="1333"/>
        <w:gridCol w:w="1344"/>
        <w:gridCol w:w="211"/>
        <w:gridCol w:w="721"/>
        <w:gridCol w:w="109"/>
        <w:gridCol w:w="109"/>
        <w:gridCol w:w="109"/>
        <w:gridCol w:w="109"/>
        <w:gridCol w:w="211"/>
        <w:gridCol w:w="721"/>
        <w:gridCol w:w="109"/>
        <w:gridCol w:w="109"/>
        <w:gridCol w:w="109"/>
        <w:gridCol w:w="109"/>
        <w:gridCol w:w="211"/>
        <w:gridCol w:w="721"/>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19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70,635 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the beginning of the year</w:t>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the end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VIE Agreements, the Company has the power to direct the activities of the VIEs. Therefore, the Company considers that there are no assets in the VIEs that can be used only to settle obligations of the VIEs. The creditors of VIEs do not have recourse to the general credit of the Company and its wholly-owned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9"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Basis of Presentation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 Share Consolidation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5, 2022, the Company effected a 1-for-500 share consolidation of its issued and unissued ordinary shares, redeemable convertible preferred shares as well as share options and restricted shares under the 2008 Share Incentive Plan and the 2017 Share Incentive Plan. Accordingly, all share and per share amounts for all periods presented in the accompanying consolidated financial statements and notes thereto have been adjusted retroactively, where applicable, to reflect this share consolidation.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 Principles of Consolidation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financial statements of the Company, its subsidiaries, and the VIEs for which the Company is the primary beneficiary.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 A consolidated affiliated entity is an entity in which the Company, or its subsidiary, through contractual arrangements, exercises effective control over the activities that most impact the economic performance, bears the risks of, and enjoys the rewards normally associated with ownership of the entity, and therefore the Company or its subsidiary is the primary beneficiary of the entity.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intercompany transactions and balances among the Company, its wholly-owned subsidiaries and the VIEs have been eliminated upon consolidation.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 Use of Estimates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accordance with U.S. GAAP requires management to make estimates and assumptions that affect the reported amounts of assets and liabilities, related disclosures of contingent assets and liabilities at the balance sheet dates, and the reported revenues and expenses during the reported periods. Accounting estimates include, but not limited to, fair valuation of assets acquired and liabilities assumed in a business combination, valuation and recognition of share-based compensation arrangements, inventory reserve for excess and obsolete inventories, useful lives of long-term assets, collectability of receivables, impairment of property and equipment and operating lease right-of-use assets. Incremental borrowing rate of leases, and the length of lease terms which vary by country and often include renewal options, are important factor in determining the appropriate accounting for leases including the initial classification of the lease as finance (referred to as “capital leases” prior to the adoption of Accounting Standards Update (“ASU”) No. 2016-02, Leases (Topic 842)) or operating and the recognition of rent expense over the duration of the lease. Actual results could differ from those estimates, and as such, differences may be material to the consolidated financial statements.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 Foreign Currency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reporting currency is U.S. Dollars ("USD" or "$"). The functional currency of the Group’s entities incorporated in the Cayman Islands, the U.S. and Hong Kong is USD. The Group’s PRC subsidiaries and consolidated VIEs determined their functional currency to be Renminbi (“RMB”). The Group’s entities incorporated in Japan, Germany, the United Kingdom and other jurisdictions use their respective local currencies as their functional currencies. The determination of the respective functional currency is based on the criteria of Accounting Standards Codification (“ASC”) Topic 830, Foreign Currency Matters.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denominated in currencies other than the functional currency are translated into the functional currency at the exchange rates quoted by authoritative banks prevailing at the dates of the transactions. Exchange gains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0"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losses resulting from those foreign currency transactions denominated in a currency other than the functional currency are recorded as “Foreign currency exchange gains (losses), net” in the consolidated statements of comprehensive income.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Functional currencies of the Group's entities other than the RMB and USD included Great Britain Pounds (“GBP”), Japanese Yen (“JPY”), Euros (“EUR”), Canadian Dollars ("CAD"), Hong Kong Dollars ("HKD"), Malaysian Ringgits ("MYD"), Vietnamese Dongs (“VND”) and Mexican Pesos (“MXN”). These entities translate their operating results and financial positions into USD, the Group’s reporting currency. Assets and liabilities denominated in foreign currencies are translated into USD using the applicable exchange rates at the balance sheet date. Equity accounts other than earnings generated in the current period are translated into USD at the appropriate historical rates. Revenues, expenses, gains and losses are translated into USD using the periodic average exchange rates. The resulting foreign currency translation adjustments are recorded in accumulated other comprehensive income as a component of shareholders’ equity.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 Commitments and Contingencies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1"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 Cash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Cash consists of deposits at financial institutions. Cash is deposited into financial institutions at the locations listed below:</w:t>
      </w:r>
    </w:p>
    <w:tbl>
      <w:tblPr>
        <w:tblW w:w="8648" w:type="dxa"/>
        <w:jc w:val="center"/>
        <w:tblInd w:w="0" w:type="dxa"/>
        <w:tblLayout w:type="fixed"/>
        <w:tblCellMar>
          <w:top w:w="28" w:type="dxa"/>
          <w:left w:w="28" w:type="dxa"/>
          <w:bottom w:w="28" w:type="dxa"/>
          <w:right w:w="28" w:type="dxa"/>
        </w:tblCellMar>
      </w:tblPr>
      <w:tblGrid>
        <w:gridCol w:w="2235"/>
        <w:gridCol w:w="1959"/>
        <w:gridCol w:w="1970"/>
        <w:gridCol w:w="211"/>
        <w:gridCol w:w="736"/>
        <w:gridCol w:w="109"/>
        <w:gridCol w:w="109"/>
        <w:gridCol w:w="109"/>
        <w:gridCol w:w="109"/>
        <w:gridCol w:w="211"/>
        <w:gridCol w:w="736"/>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the United States</w:t>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USD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GBP</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CAD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MXN</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the United States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47,084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84,242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Hong Kong</w:t>
            </w:r>
          </w:p>
        </w:tc>
        <w:tc>
          <w:tcPr>
            <w:tcW w:w="105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USD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EUR</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GBP</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JPY</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HKD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Hong Kong </w:t>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42,753</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45,694</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Japan</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JPY</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USD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Japan </w:t>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8,045</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14,120</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the United Kingdom</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GBP</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USD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EUR</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the United Kingdom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1,544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the mainland of the PRC</w:t>
            </w:r>
          </w:p>
        </w:tc>
        <w:tc>
          <w:tcPr>
            <w:tcW w:w="105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RMB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USD</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EUR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GBP</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the PRC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41,513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34,138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Germany</w:t>
            </w:r>
          </w:p>
        </w:tc>
        <w:tc>
          <w:tcPr>
            <w:tcW w:w="105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2"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tbl>
      <w:tblPr>
        <w:tblW w:w="7973" w:type="dxa"/>
        <w:jc w:val="center"/>
        <w:tblInd w:w="0" w:type="dxa"/>
        <w:tblLayout w:type="fixed"/>
        <w:tblCellMar>
          <w:top w:w="28" w:type="dxa"/>
          <w:left w:w="28" w:type="dxa"/>
          <w:bottom w:w="28" w:type="dxa"/>
          <w:right w:w="28" w:type="dxa"/>
        </w:tblCellMar>
      </w:tblPr>
      <w:tblGrid>
        <w:gridCol w:w="1910"/>
        <w:gridCol w:w="1682"/>
        <w:gridCol w:w="1687"/>
        <w:gridCol w:w="211"/>
        <w:gridCol w:w="841"/>
        <w:gridCol w:w="109"/>
        <w:gridCol w:w="109"/>
        <w:gridCol w:w="109"/>
        <w:gridCol w:w="109"/>
        <w:gridCol w:w="211"/>
        <w:gridCol w:w="841"/>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EUR</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USD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GBP</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Germany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Vietnam</w:t>
            </w:r>
          </w:p>
        </w:tc>
        <w:tc>
          <w:tcPr>
            <w:tcW w:w="1161"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VND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RMB</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USD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Vietnam </w:t>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in Malaysia</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Denominated in MYR</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balances held at financial institutions in Malaysia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r>
      <w:tr>
        <w:trPr/>
        <w:tc>
          <w:tcPr>
            <w:tcW w:w="52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cash held at financial institutions</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143,531</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183,283</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 Restricted Cash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that is restricted for withdrawal or use is reported separately on the consolidated balance sheets. The Group’s restricted cash represents security deposits held in designated bank accounts for issuance of letters of guarantee. As of December 31, 2022 and 2023, the restricted cash, held by the Group at the United States financial institutions and denominated in U.S. Dollars, amounted to $1,545 thousand and $885 thousand, respectively.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cash and restricted cash in the consolidated balance sheets to the amounts in the consolidated statement of cash flows is as follows:</w:t>
      </w:r>
    </w:p>
    <w:tbl>
      <w:tblPr>
        <w:tblW w:w="9563" w:type="dxa"/>
        <w:jc w:val="center"/>
        <w:tblInd w:w="0" w:type="dxa"/>
        <w:tblLayout w:type="fixed"/>
        <w:tblCellMar>
          <w:top w:w="28" w:type="dxa"/>
          <w:left w:w="28" w:type="dxa"/>
          <w:bottom w:w="28" w:type="dxa"/>
          <w:right w:w="28" w:type="dxa"/>
        </w:tblCellMar>
      </w:tblPr>
      <w:tblGrid>
        <w:gridCol w:w="2475"/>
        <w:gridCol w:w="2179"/>
        <w:gridCol w:w="2215"/>
        <w:gridCol w:w="211"/>
        <w:gridCol w:w="841"/>
        <w:gridCol w:w="109"/>
        <w:gridCol w:w="109"/>
        <w:gridCol w:w="109"/>
        <w:gridCol w:w="109"/>
        <w:gridCol w:w="211"/>
        <w:gridCol w:w="841"/>
        <w:gridCol w:w="154"/>
      </w:tblGrid>
      <w:tr>
        <w:trPr/>
        <w:tc>
          <w:tcPr>
            <w:tcW w:w="2475"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86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cash and restricted cash shown in the consolidated statements of cash flows</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145,076</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184,168</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 Contract Balances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revenue recognition, billings and cash collections result in accounts receivable and contract liabilities. A contract liability is recognized when the Group has an obligation to transfer goods or services to a customer for which the Group has received consideration from the customer, or for which an amount of consideration is due from the customer.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recognized in the period when the Group has transferred products or provided services to its customers and when its right to consideration is unconditional. Amounts collected on accounts receivable are included in net cash provided by operating activities in the consolidated statement of cash flows. The Group maintains a general and specific allowance for doubtful accounts for estimated losses inherent in its accounts receivable portfolio. Accounts receivable balances with large creditworthy customers are reviewed by management individually for collectability. All other balances are reviewed on a pooled basis. A percentage of general allowance is applied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3"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balances of accounts receivable in each aging category, excluding those which are assessed individually for collectability. Management considers various factors, including historical loss experience, current market conditions, the financial condition of its debtors, any receivables in dispute, the aging of receivables and current payment patterns of its debtors, in establishing the required allowance.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deemed uncollectible are recorded as an allowance in the consolidated balance sheets with an offsetting charge to general and administrative expenses in the consolidated statements of comprehensive income. Accounts receivable which are deemed to be uncollectible are charged off against the allowance after all means of collection have been exhausted and the potential for recovery is considered remote. The Group does not have any off-balance sheet credit exposure related to its customers.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(j) Inventories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consisting of products available for sale, are stated at the lower of cost or net realizable value. Cost of inventory is determined using the first-in, first-out method. Adjustments are recorded to write down the cost of inventory to the estimated net realizable value due to slow-moving merchandise and damaged goods, which is dependent upon factors such as historical and forecasted consumer demand, and the promotional environment. The Group takes ownership, risks and rewards of the products purchased. Write downs are recorded in cost of revenues in the consolidated statements of comprehensive income.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(k) Property and Equipment, net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less accumulated depreciation and any recorded impairment.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on property and equipment is calculated using the straight-line method over the estimated useful lives of the assets as follows:</w:t>
      </w:r>
    </w:p>
    <w:tbl>
      <w:tblPr>
        <w:tblW w:w="4964" w:type="dxa"/>
        <w:jc w:val="center"/>
        <w:tblInd w:w="0" w:type="dxa"/>
        <w:tblLayout w:type="fixed"/>
        <w:tblCellMar>
          <w:top w:w="28" w:type="dxa"/>
          <w:left w:w="28" w:type="dxa"/>
          <w:bottom w:w="28" w:type="dxa"/>
          <w:right w:w="28" w:type="dxa"/>
        </w:tblCellMar>
      </w:tblPr>
      <w:tblGrid>
        <w:gridCol w:w="1478"/>
        <w:gridCol w:w="1297"/>
        <w:gridCol w:w="1304"/>
        <w:gridCol w:w="259"/>
        <w:gridCol w:w="259"/>
        <w:gridCol w:w="367"/>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other equipment</w:t>
            </w:r>
          </w:p>
        </w:tc>
        <w:tc>
          <w:tcPr>
            <w:tcW w:w="885"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407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Logistics, warehouse and other heavy equipment</w:t>
            </w:r>
          </w:p>
        </w:tc>
        <w:tc>
          <w:tcPr>
            <w:tcW w:w="88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When items are retired or otherwise disposed of, income is charged or credited for the difference between net book value and the proceeds received thereon. Ordinary maintenance and repairs are charged to expense as incurred.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(l) Software Development Costs</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The Group incurs software development costs related to internal-use software and the Group's websites. No software development costs were capitalized for the years presented. All other costs, including those related to design or maintenance, are expensed as incurred.</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 Business Combinations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applies the provisions of ASC 805, Business Combinations ("ASC 805"), in accounting for our acquisitions. ASC 805 requires that we evaluate whether a transaction pertains to an acquisition of assets, or to an acquisition of a business. A business is defined as an integrated set of inputs and processes that is capable of being conducted and managed for the purpose of providing an output, or a return to investors. Asset acquisitions are accounted for by allocating the cost of the acquisition to the individual assets acquired and liabilities assumed on a relative fair value basis, whereas the acquisition of a business requires the Group to recognize separately from goodwill the assets acquired and the liabilities assumed at the acquisition date fair values. </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The Group accounts for business combinations using the acquisition method. Accordingly, identifiable assets acquired and liabilities assumed are recorded at their acquisition date fair values. Goodwill as of the acquisition date is recorded as the difference, if any, between the aggregate consideration paid for an acquisition and the fair value of the assets acquired and liabilities assumed</w:t>
      </w:r>
      <w:r>
        <w:rPr>
          <w:rFonts w:ascii="Times New Roman;sans-serif" w:hAnsi="Times New Roman;sans-serif"/>
          <w:b w:val="false"/>
          <w:color w:val="000000"/>
          <w:sz w:val="20"/>
          <w:shd w:fill="FFFFFF" w:val="clear"/>
        </w:rPr>
        <w:t xml:space="preserve">. Goodwill recorded in an acquisition is assigned to applicable reporting units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4"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pPr>
      <w:r>
        <w:rPr>
          <w:rFonts w:ascii="Times New Roman;sans-serif" w:hAnsi="Times New Roman;sans-serif"/>
          <w:b w:val="false"/>
          <w:color w:val="000000"/>
          <w:sz w:val="20"/>
          <w:shd w:fill="FFFFFF" w:val="clear"/>
        </w:rPr>
        <w:t>are expected to benefit from the synergies. I</w:t>
      </w:r>
      <w:r>
        <w:rPr>
          <w:rFonts w:ascii="Times New Roman;sans-serif" w:hAnsi="Times New Roman;sans-serif"/>
          <w:b w:val="false"/>
          <w:color w:val="000000"/>
          <w:sz w:val="20"/>
        </w:rPr>
        <w:t xml:space="preserve">dentifiable intangible assets with finite lives are amortized over their useful lives. Amortization of intangible assets is recorded in the consolidated statements of comprehensive income.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business acquisition date, we record adjustments to the assets acquired and liabilities assumed with the corresponding offset to goodwill. Upon the conclusion of a business acquisition’s measurement period or final determination of the values of assets acquired or liabilities assumed, whichever comes first, any subsequent adjustments are recorded to our consolidated statements of comprehensive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Group also incurs acquisition-related and other expenses including legal, banking, accounting and other advisory fees of third parties which are recorded as general and administrative expenses as incurred. The results of operations of acquired businesses are included in the consolidated financial statements from the acquisition date.</w:t>
      </w:r>
    </w:p>
    <w:p>
      <w:pPr>
        <w:pStyle w:val="TextBody"/>
        <w:bidi w:val="0"/>
        <w:spacing w:lineRule="auto" w:line="288" w:before="360" w:after="283"/>
        <w:jc w:val="left"/>
        <w:rPr>
          <w:rFonts w:ascii="Times New Roman;sans-serif" w:hAnsi="Times New Roman;sans-serif"/>
          <w:b/>
          <w:i/>
          <w:color w:val="231F20"/>
          <w:sz w:val="20"/>
        </w:rPr>
      </w:pPr>
      <w:r>
        <w:rPr>
          <w:rFonts w:ascii="Times New Roman;sans-serif" w:hAnsi="Times New Roman;sans-serif"/>
          <w:b/>
          <w:i/>
          <w:color w:val="231F20"/>
          <w:sz w:val="20"/>
        </w:rPr>
        <w:t>(n) Goodwill</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drivers that generate goodwill are the value of synergies between the acquired entities and the Group and the acquired assembled workforce, neither of which qualifies as a separately identifiable intangible asset. The Group assesses goodwill impairment at the reporting unit level annually or more frequently if indicators of impairment are present. The Group did not incur impairment charges for goodwill in 2023 and the Group had no goodwill prior to 2023. </w:t>
      </w:r>
    </w:p>
    <w:p>
      <w:pPr>
        <w:pStyle w:val="TextBody"/>
        <w:bidi w:val="0"/>
        <w:spacing w:before="0" w:after="0"/>
        <w:ind w:left="0" w:right="0" w:firstLine="1109"/>
        <w:jc w:val="left"/>
        <w:rPr/>
      </w:pPr>
      <w:r>
        <w:rPr/>
      </w:r>
    </w:p>
    <w:p>
      <w:pPr>
        <w:pStyle w:val="TextBody"/>
        <w:bidi w:val="0"/>
        <w:spacing w:lineRule="auto" w:line="288" w:before="0" w:after="0"/>
        <w:ind w:left="0" w:right="0" w:firstLine="110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of reporting units requires judgment, and if the Group changed the definition of our reporting units, it is possible that the Group would have reached different conclusions when performing the Group's impairment tests.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group initially evaluates qualitative factors to determine if it is more likely than not that the fair value of a reporting unit is less than it’s carrying amount. If the qualitative assessment is not conclusive, we quantitatively assess the fair value of a reporting unit to test goodwill for impairment.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 Intangible Assets Other than Goodwill</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other than goodwill, primarily include customer relationships and technology assets acquired in business combinations. Intangible assets are amortized over periods ranging from 1 to 15 years, using a straight-line basis or on a basis consistent with the pattern in which the economic benefits are realized.</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finite useful lives are evaluated for impairment whenever events or changes in circumstances indicate that the carrying value of an asset may not be fully recoverable or that the useful life is shorter than the Group had originally estimated. When these events occur, the Group evaluates the impairment for the intangible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of intangible assets was recognized for the years ended December 31, 2021, 2022 and 2023.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 Leases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Financial Accounting Standards Board (“FASB”) issued ASU 2016-02 or ASC 842, which increases transparency and comparability among organizations by recognizing lease assets and lease liabilities on the balance sheet and disclosing key information about leasing arrangements. The FASB subsequently issued amendments to clarify the implementation guidance. As an emerging growth company, the Group adopted these standards on January 1, 2022, using a modified retrospective method for leases that exist at, or are entered into after, January 1, 2022, and has not recast the comparative periods presented in the consolidated financial statements. Additionally, the Group elected the package of practical expedients that allowed it not to reassess: (1) whether any expired or existing contracts are or contain leases, (2) lease classification for any expired or existing leases and (3) initial direct costs for any expired or existing leases. The Group also elected the hindsight practical expedient to determine the reasonably certain lease term for existing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5"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Group categorizes leases at their inception as either operating or finance leases. Lease agreements mainly cover office space, warehouses, storage rack and other heavy equipment used in the warehouses. Most of these leases are operating leases; however, certain warehouse storage shelves from a third-party lessor are leased under finance leases. Leased assets pursuant to operating leases are included in operating lease right-of-use assets ("ROU"), while leased assets pursuant to finance leases are included in property and equipment, net. Operating lease right-of-use assets and liabilities are recognized at commencement date based on the present value of lease payments over the lease term. The Group uses a secured incremental borrowing rate as the discount rate for present value of lease payments when the rate implicit in the contract is not readily determinable. Leases that have a term of twelve months or less upon commencement date are considered short-term in nature. Accordingly, short-term leases are not included on the consolidated balance sheets and are expensed on a straight-line basis over the lease term, which commences on the date the Group has the right to control the property. For leases acquired in business combinations or asset acquisitions, ROU assets are measured at the same amount as the lease liability as adjusted to reflect favorable or unfavorable terms of the lease when compared with market terms.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(q) Revenue recognition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recognizes revenues when the Group satisfies a performance obligation by transferring a promised good or service (that is, an asset) to a customer. An asset is transferred when the customer obtains control of that asset.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evaluates whether it is appropriate to record the gross amount of merchandise sales and related costs or the net amount earned as commissions. When the Group is a principal, and the Group obtains control of the specified goods or services before they are transferred to the customers, the revenues should be recognized at the gross amount of consideration to which it expects to be entitled in exchange for the specified goods or services transferred. When the Group is an agent and its obligation is to facilitate third parties in fulfilling their performance obligation for specified goods or services, the revenues should be recognized at the net amount of commission that the Group earns in exchange for arranging for the specified goods or services to be provided by other parties. Revenues are recorded net of value-added taxes.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focuses on selling large parcel merchandise to various distributors and individual customers, as well as the provision of ecommerce solutions on its own platform (“GigaCloud Marketplace”), with which the Group could democratize access and distribution globally to manufacturers (“Sellers”) and online resellers (“Buyers”) without borders. The Group’s revenues include revenues from product sales and services. Product sales include sales on the GigaCloud Marketplace (“GigaCloud 1P”) and sales to and through third-party ecommerce websites (“Off-platform ecommerce”). Service revenues are generated from services provided to registered users, including Sellers and Buyers on GigaCloud Marketplace (“GigaCloud 3P”).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GigaCloud 1P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sells its merchandise to its customers, who are Buyers on the GigaCloud Marketplace. The Group recognizes revenues net of discounts and return allowances. Such revenue is recognized at the point in time when control of the merchandise is transferred to the Buyer, which occurs upon shipment out of the Group’s warehouse to the destination designated by the Buyer.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Off-platform ecommerce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two business lines subject to Off-platform ecommerce, which include a) product sales made to third-party ecommerce websites (“Product sales to B”) and b) product sales to individual customers through third-party ecommerce websites (“Product sales to C”).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Product sales to B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sells its merchandise to third-party ecommerce websites, who typically designate carrier companies to pick up merchandise from our warehouses. The Group recognizes revenue net of discounts and return allowances. Such revenue is recognized at the point in time when the third-party ecommerce websites obtain control of the merchandise, which is shipment out of the Group’s warehouse and pick-up by the carrier companies designated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6"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ecommerce websites. As expenses charged by these websites are not in exchange for a distinct good or service, payments to these websites, which are the Group’s customers, are not recognized as expenses but recorded net of revenues.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Product sales to C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sells its merchandise to individual customers through third-party ecommerce websites. The Group recognizes revenue when control over the merchandise is transferred to the individual customers at an amount that reflects the consideration to which we expect to be entitled to in exchange of that merchandise. Revenue is recognized at the point in time when the individual customers take possession of merchandise, which is when the merchandise is delivered to the customers. Expenses incurred for product sales made through these websites, which are considered as platform commission, are recorded as selling and marketing expenses in the consolidated statements of comprehensive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GigaCloud 1P and Off-platform ecommerce, the Group recognizes revenue on a gross basis as the Group is acting as a principal in these transactions and is responsible for fulfilling the promise to provide the specified merchandise. Judgment is required to estimate the variable consideration incurred, which refers to return allowances. The Group estimates the variable consideration based on the volatility of markets and its past experience with similar types of product sales, and include the amounts of variable consideration in the transaction price to the extent that it is probable that a significant reversal of cumulative revenue recognized will not occur when the uncertainty associated with the variable consideration is resolved. Such estimates are made using the ‘expected value’ method and is updated as and when additional information is available. Liabilities for variable consideration are included as accrued expenses and other current liabilities in the consolidated balance sheets.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GigaCloud 3P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enters into contracts with customers, which often include promises to transfer multiple services. For these contracts, the Group accounts for individual performance obligations separately if they are capable of being distinct and distinct within the context of the contract. Determining whether services are considered distinct performance obligations may require significant judgment.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charges commission fees for sales transactions consummated on the GigaCloud Marketplace. The Group acts as an agent, as it does not take control of the merchandise provided by Sellers at any time during the transactions and does not have latitude over pricing of the merchandise. The Group initially sets a percentage of the transacted product value as commission fee that is charged upon transaction completion; varying levels of credits are applied retrospectively to customers whose monthly transaction value reaches certain specified hurdles. Revenue from commission fees is recognized upon successful sales of the merchandise by Sellers when Buyers take ownership of the merchandise and are able to control the merchandise at their discretion. As credits, and hence the effective rate of commission fees, are refreshed and adjusted at the end of each calendar month, no estimation is required beyond the end of each month. </w:t>
      </w:r>
    </w:p>
    <w:p>
      <w:pPr>
        <w:pStyle w:val="TextBody"/>
        <w:bidi w:val="0"/>
        <w:spacing w:lineRule="auto" w:line="288" w:before="0" w:after="0"/>
        <w:ind w:left="0" w:right="0" w:firstLine="110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also offers comprehensive supply chain solutions for Sellers. The Group provides services that help Sellers ship merchandise from the Sellers’ manufacturing plant to the Group’s overseas warehouses, utilizing the Group’s extensive shipping network consisting of ocean transportation providers, custom declaration agents, and domestic shipping companies. Furthermore, the Group also provides warehousing services to Sellers and Buyers through storage of merchandise in the Group’s warehouses, as well as packaging and last-mile delivery services from the Group’s warehouses to domestic destinations designated by Buyers. Revenues resulting from storage, ocean transportation services, and last-mile delivery services are recognized over time, as the Group performs contractual obligations through continuous transfer of control to Sellers or Buyers, and they could simultaneously receive and consume the benefits of the Group’s performance as it occurs; revenues from packaging services are recognized at the time the merchandise is packed and shipped, at which time the packaging service is considered completed. The Group is acting as a principal in providing aforementioned services and accordingly recognizes revenue on a gross basis as the Group determines the price and selects carriers at its own discretion.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Sellers and Buyers could choose one or several of the above-mentioned services on the GigaCloud Marketplace. Therefore, there may be multiple performance obligations included in one transaction. Revenue is allocated to each performance obligation based on its standalone selling price. The Group generally determines standalone selling prices based on observable prices. If the standalone selling price is not observable through past transactions, the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7"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the standalone selling price based on multiple factors, including but not limited to management approved price lists or cost-plus margin analysis.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 Cost of Revenues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are comprised of cost of product sales and cost of services. Cost of Product sales primarily consist of the purchase price of merchandise, shipping and handling costs for self-owned merchandise, warehouse rental expenses excluding the portion allocated to cost of service revenue and abnormal capacity, packaging fees and personnel related costs. Cost of services primarily consist of domestic delivery costs, an allocated portion of warehouse rental expenses, and costs associated with the operation of the GigaCloud Marketplace.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Shipping and handling costs primarily consist of those costs incurred during the process of delivery in North America and markets in other regions, including the expenses attributable to shipment and handling activities, when the Group delivers a good to a customer.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 Selling and Marketing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mainly consist of platform service fees charged by third-party ecommerce websites arising from Product sales to C on Off-platform ecommerce channels, advertising expenses, payroll and related expenses for personnel engaged in selling and marketing activities, and rental and depreciation expenses relating to facilities and equipment used by those employees.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 Advertising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expenses, including advertisements through various forms of media and marketing and promotional activities, are included in “selling and marketing expenses” in the consolidated statements of comprehensive income when incurred. Total advertising expenses incurred were $1,851 thousand, $1,530 thousand and $3,908 thousand for the years ended December 31, 2021, 2022 and 2023, respectively.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 General and Administrative Expenses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mainly consist of share-based compensation, payroll and related costs for employees involved in general corporate functions, rental and depreciation expenses associated with the use of facilities and equipment by these employees, professional fees, and other general corporate expenses.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(v) Research and Development Expenses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mainly consist of personnel costs, including share-based compensation expense associated with the Group’s engineering, programming, data analytics, and product development personnel responsible for the design, development, and testing of the Group's platform, rental and depreciation expenses associated with the use of facilities and equipment of aforementioned personnel, and information technology costs. Research and development costs are expensed as incurred.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 Government grants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grants are recognized when there is reasonable assurance that the Group will comply with the conditions attached to it and the grants will be received. The Group has received government grants in cash to support growth and competitiveness in the internet industry. No future related costs are stipulated. Government grants are recognized in the Group’s consolidated statement of comprehensive income when the grant becomes receivable. Government grants of nil, $1,085 thousand and $911 thousand were recorded in the Group’s consolidated statements of comprehensive income for the years ended December 31, 2021, 2022 and 2023, respectively. There were no significant commitments, contingencies or provisions for recapture conditions for the government grants received for the years ended December 31, 2021, 2022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8"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(x) Share-based Compensation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applies ASC 718 (“ASC 718”) Compensation—Share Compensation to account for its share-based payments. In accordance with ASC 718, the Group determines whether an award should be classified and accounted for as a liability award or an equity award.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awards in the form of share options, restricted shares, restricted share units and ordinary shares that are equity-classified awards are measured at the grant date fair value of the awards. Compensation expenses are recognized on a straight-line basis over the requisite service period, if and when the Group considers that it is probable that the performance condition will be achieved. When no future services are required to be performed in exchange for an award, and if such award does not contain a performance or market condition, the cost of the award is expensed on the grant date.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awards in the form of restricted share units granted to Audit Committee members are liability-classified awards, as the awards are share-settleable for a fixed monetary amount. The Company recognizes compensation cost for an award with only service condition that has a graded vesting schedule on a straight-line basis over the requisite service period for the entire award, provided that the cumulative amount of compensation cost recognized at any date at least equals the portion of the grant date value of such award that is vested at that date.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elected to recognize the effect of forfeitures in compensation cost as they occur. To the extent the required vesting conditions are not met resulting in the forfeiture of the share-based awards, previously recognized compensation expense relating to those awards is reversed.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any of the terms or conditions of share-based awards is accounted for as a modification of the awards. “Not probable-to-probable” modification, which refers to the modification of the award that is not expected to vest under the original vest condition at the date of the modification, the compensation cost should be recognized equal to the modified award’s fair value at the date of the modification. “Probable-to-Probable” modification, which refers to the modification that does not change the expectation that the awards will ultimately vest, the cumulative amount of compensation cost that should be recognized is the original grant date fair value of the award plus any incremental fair value resulting from the modification. Incremental compensation cost shall be measured as the excess, if any, of the fair value of the modified award over the fair value of the original award immediately before its terms are modified.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(y) Employee Benefits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subsidiaries and the VIEs in the PRC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on the monthly basic compensation of qualified employees at a stated contribution rate of 25.5%. The Group has no further commitments beyond its monthly contribution. Employees in the United States are eligible to participate in one or more of savings plans that provide for periodic contributions by the Group based on plan-specific criteria, such as base pay, level and employee contributions.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2022 and 2023, the costs and expenses of the obligations to the defined contribution plans amounted to $1,695 thousand, $2,610 thousand and $3,711 thousand,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(z) Income Taxes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Group accounts for income taxes using the asset and liability method.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the consolidated statements of comprehensive income in the period that includes the enactment date. A valuation allowance is provided to reduce the amount of deferred income tax assets if based on the weight of available evidence, it is more-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9"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likely-than-not that some portion, or all, of the deferred income tax assets will not be realized. This assessment considers, among other matters, the nature, frequency and severity of current and cumulative losses, forecasts of futures profitability, the duration of statutory carryforward periods, the Group’s experience with operating loss and tax credit carryforwards, if any, not expiring.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applies a “more-likely-than-not” recognition threshold in the evaluation of uncertain tax positions. The Group recognizes the benefit of a tax position in its consolidated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income tax expense on the consolidated statements of comprehensive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Note 17, as of December 31, 2022 and 2023, the Group had recognized tax provision on transfer pricing adjustments. Under PRC laws and regulations, an arrangement or transaction among related parties may be subject to audit or challenge by the PRC tax authorities within ten years after the taxable year when the arrangement or transaction takes place. If this occurs, the PRC tax authorities could request the Company’s subsidiaries and VIEs to adjust their taxable income in the form of a transfer pricing adjustment for PRC tax purposes if contractual arrangements among related parties do not represent arm’s length prices. Such a pricing adjustment could adversely affect the Group by increasing the Company’s subsidiaries’ and VIEs’ tax expenses without a corresponding reduction in the tax expenses, which, in turn, could lead to late payment fees and other penalties for underpayment of taxes.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(aa) Concentration and Risk</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Concentration of customers and suppliers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customers individually represented greater than 10.0% of total revenues of the Group for the years ended December 31, 2021, 2022 and 2023.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Three customers individually represented greater than 10.0% of total accounts receivable balance of the Group as of December 31, 2022 and one customer individually represented greater than 10.0% of total accounts receivable balance as of December 31, 2023.</w:t>
      </w:r>
    </w:p>
    <w:tbl>
      <w:tblPr>
        <w:tblW w:w="5531" w:type="dxa"/>
        <w:jc w:val="center"/>
        <w:tblInd w:w="0" w:type="dxa"/>
        <w:tblLayout w:type="fixed"/>
        <w:tblCellMar>
          <w:top w:w="28" w:type="dxa"/>
          <w:left w:w="28" w:type="dxa"/>
          <w:bottom w:w="28" w:type="dxa"/>
          <w:right w:w="28" w:type="dxa"/>
        </w:tblCellMar>
      </w:tblPr>
      <w:tblGrid>
        <w:gridCol w:w="391"/>
        <w:gridCol w:w="344"/>
        <w:gridCol w:w="345"/>
        <w:gridCol w:w="454"/>
        <w:gridCol w:w="454"/>
        <w:gridCol w:w="1132"/>
        <w:gridCol w:w="109"/>
        <w:gridCol w:w="109"/>
        <w:gridCol w:w="109"/>
        <w:gridCol w:w="424"/>
        <w:gridCol w:w="424"/>
        <w:gridCol w:w="123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proportion of total accounts</w:t>
              <w:br/>
              <w:t xml:space="preserve">receivable balance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proportion of total accounts</w:t>
              <w:br/>
              <w:t xml:space="preserve">receivable balance </w:t>
            </w:r>
          </w:p>
        </w:tc>
      </w:tr>
      <w:tr>
        <w:trPr/>
        <w:tc>
          <w:tcPr>
            <w:tcW w:w="108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90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32"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3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90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32"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540"/>
        <w:jc w:val="left"/>
        <w:rPr>
          <w:rFonts w:ascii="Times New Roman;sans-serif" w:hAnsi="Times New Roman;sans-serif"/>
          <w:b w:val="false"/>
          <w:i/>
          <w:color w:val="000000"/>
          <w:sz w:val="20"/>
        </w:rPr>
      </w:pPr>
      <w:r>
        <w:rPr>
          <w:rFonts w:ascii="Times New Roman;sans-serif" w:hAnsi="Times New Roman;sans-serif"/>
          <w:b w:val="false"/>
          <w:i/>
          <w:color w:val="000000"/>
          <w:sz w:val="20"/>
        </w:rPr>
        <w:t>*Less than 10.0% of total accounts receivable balance as of the year end.</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one service provider individually represented 23.4% of total purchase, and no other vendor accounted for 10% or more of total purchases.</w:t>
      </w:r>
    </w:p>
    <w:p>
      <w:pPr>
        <w:pStyle w:val="TextBody"/>
        <w:bidi w:val="0"/>
        <w:spacing w:before="240" w:after="283"/>
        <w:ind w:left="0" w:right="0" w:firstLine="110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0"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Concentration of credit risk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expose the Group to concentrations of credit risk consist principally of cash, restricted cash, accounts receivable, and amounts due from third-party payment platforms.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investment policy requires cash and restricted cash to be placed with high quality financial institutions and to limit the amount of credit risk from any one institution. The Group regularly evaluates the credit standing of the counterparties or financial institutions.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(Note 4), derived from product sales and provision of services on the Group’s GigaCloud Marketplace, as well as amounts due from third-party payment platforms (Note 6) derived from payment from individual customers collected by third-party payment platforms on behalf of the Group, are exposed to credit risk. The assessment of the counter parties’ creditworthiness is primarily based on past history of making payments when due and current ability to pay, taking into account information specific to the counter parties as well as pertaining to the economic environment in which the counter parties operate. Based on this analysis, the Group determines what credit terms, if any, to offer to each counter party individually. If the assessment indicates a likelihood of collection risk, the Group will not deliver the services or sell the products to or through the counter parties or require the counter parties to pay cash in time to secure payment.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borrowings bear interests at fixed rates. If the Group were to renew these borrowings, the Group might be subject to interest rate risk.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exchange rate risk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is exposed to risks from foreign currency exchange rate fluctuations on the translation of foreign operations into U.S. dollars and on the purchase of goods by these foreign operations that are not denominated in their local currencies. Changes in currency rates resulted in gains (losses) of ($2.0 million), ($4.9 million) and $2.1 million for the years ended December 31, 2021, 2022 and 2023, respectively, primarily due to foreign currency exchange rate fluctuations against the U.S. dollar.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(ab) Earnings per Share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by dividing net income attributable to ordinary shareholders, considering the accretions to redemption value of the preferred shares, by the weighted average number of ordinary shares outstanding during the year using the two-class method. Under the two-class method, any net income is allocated between ordinary shares and other participating securities based on their participating rights. A net loss is not allocated to participating securities when the participating securities do not have contractual obligations to share losses.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preferred shares are participating securities as they participate in undistributed earnings on an as-converted basis. The preferred shares do not have a contractual obligation to fund or otherwise absorb the Group’s losses. Accordingly, any undistributed net income is allocated on a pro rata basis to the ordinary shares and preferred shares; whereas any undistributed net loss is allocated to ordinary shares only.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is calculated by dividing net income attributable to ordinary shareholders, as adjusted for the effect of dilutive ordinary equivalent shares, if any, by the weighted average number of ordinary and dilutive ordinary equivalent shares outstanding during the period. Ordinary equivalent shares consist of shares issuable upon the conversion of the preferred shares using the as-converted method, and exercise of outstanding warrant and share-based awards using the treasury stock method. Ordinary equivalent shares are not included in the denominator of the diluted earnings per share calculation when inclusion of such shares would be anti-dilutive.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(ac) Fair Value Measurements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utilizes valuation techniques that maximize the use of observable inputs and minimize the use of unobservable inputs to the extent possible. The Group determines fair value based on assumptions that market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1"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would use in pricing an asset or liability in the principal or most advantageous market. The carrying amounts for the Group’s cash, restricted cash, accounts receivable, accounts payable and accrued liabilities approximate fair value due to their short-term maturities.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firstLine="1109"/>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231F20"/>
          <w:sz w:val="20"/>
        </w:rPr>
        <w:t>Level 1 Inputs: Unadjusted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231F20"/>
          <w:sz w:val="20"/>
        </w:rPr>
        <w:t>Level 2 Inputs: Other than quoted prices included in Level 1 inputs that are observable for the asset or liability, either directly or indirectly, for substantially the full-term of the asset or liability.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231F2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before="0" w:after="0"/>
        <w:ind w:left="0" w:right="0" w:firstLine="1109"/>
        <w:jc w:val="left"/>
        <w:rPr/>
      </w:pPr>
      <w:r>
        <w:rPr/>
      </w:r>
    </w:p>
    <w:p>
      <w:pPr>
        <w:pStyle w:val="TextBody"/>
        <w:bidi w:val="0"/>
        <w:spacing w:lineRule="auto" w:line="288" w:before="0" w:after="0"/>
        <w:ind w:left="0" w:right="0" w:firstLine="1109"/>
        <w:jc w:val="left"/>
        <w:rPr>
          <w:rFonts w:ascii="Times New Roman;sans-serif" w:hAnsi="Times New Roman;sans-serif"/>
          <w:b w:val="false"/>
          <w:color w:val="000000"/>
          <w:sz w:val="20"/>
        </w:rPr>
      </w:pPr>
      <w:r>
        <w:rPr>
          <w:rFonts w:ascii="Times New Roman;sans-serif" w:hAnsi="Times New Roman;sans-serif"/>
          <w:b w:val="false"/>
          <w:color w:val="000000"/>
          <w:sz w:val="20"/>
        </w:rPr>
        <w:t>Certain non-financial assets and liabilities are measured at fair value on a nonrecurring basis, including property and equipment and intangible assets acquired in a business combination as well as goodwill recognized. These assets are subject to fair value adjustments in certain circumstances, such as when there is evidence of an impairment or when an asset or disposal group is classified as held for sale.</w:t>
      </w:r>
    </w:p>
    <w:p>
      <w:pPr>
        <w:pStyle w:val="TextBody"/>
        <w:bidi w:val="0"/>
        <w:spacing w:before="0" w:after="0"/>
        <w:ind w:left="0" w:right="0" w:firstLine="1109"/>
        <w:jc w:val="left"/>
        <w:rPr/>
      </w:pPr>
      <w:r>
        <w:rPr/>
      </w:r>
    </w:p>
    <w:p>
      <w:pPr>
        <w:pStyle w:val="TextBody"/>
        <w:bidi w:val="0"/>
        <w:spacing w:lineRule="auto" w:line="288" w:before="0" w:after="0"/>
        <w:ind w:left="0" w:right="0" w:firstLine="1109"/>
        <w:jc w:val="left"/>
        <w:rPr>
          <w:rFonts w:ascii="Times New Roman;sans-serif" w:hAnsi="Times New Roman;sans-serif"/>
          <w:b w:val="false"/>
          <w:color w:val="000000"/>
          <w:sz w:val="20"/>
        </w:rPr>
      </w:pPr>
      <w:r>
        <w:rPr>
          <w:rFonts w:ascii="Times New Roman;sans-serif" w:hAnsi="Times New Roman;sans-serif"/>
          <w:b w:val="false"/>
          <w:color w:val="000000"/>
          <w:sz w:val="20"/>
        </w:rPr>
        <w:t>In accounting for business acquisitions, the Group allocates the fair value of purchase consideration to the assets acquired and liabilities assumed based on their estimated fair values. Estimating the fair value of assets acquired and liabilities assumed requires judgment, especially with respect to identified intangible assets as there may be limited or no observable transactions within the market, requiring us to develop internal models to estimate fair value. For example, estimating the fair value of identified intangible assets may require us to develop valuation assumptions, including but not limited to, future expected cash flows from these assets, synergies and the cost of capital. Certain inputs require us to determine assumptions that are reflective of a market participant view of fair value. Changes in any of these assumptions may materially impact the amount the Group recognize for identifiable assets and liabilities, in addition to the residual amount allocated to goodwill.</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 Segment Reporting </w:t>
      </w:r>
    </w:p>
    <w:p>
      <w:pPr>
        <w:pStyle w:val="TextBody"/>
        <w:bidi w:val="0"/>
        <w:spacing w:lineRule="auto" w:line="288" w:before="240" w:after="283"/>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chief operating decision maker has been identified as the chief executive officer, who reviews consolidated results when making decisions about allocating resources and assessing performance of the Group. For the purpose of internal reporting and management’s operation review, the Group’s chief executive officer and management personnel do not segregate the Group’s business by revenue stream or geography. Management has determined that the Group has one operating segment. </w:t>
      </w:r>
    </w:p>
    <w:p>
      <w:pPr>
        <w:pStyle w:val="TextBody"/>
        <w:bidi w:val="0"/>
        <w:spacing w:lineRule="auto" w:line="288" w:before="240" w:after="283"/>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and operating lease right-of-use assets. The geographic information for long-lived assets as of December 31, 2022 and 2023 is as follows:</w:t>
      </w:r>
    </w:p>
    <w:tbl>
      <w:tblPr>
        <w:tblW w:w="4703" w:type="dxa"/>
        <w:jc w:val="center"/>
        <w:tblInd w:w="0" w:type="dxa"/>
        <w:tblLayout w:type="fixed"/>
        <w:tblCellMar>
          <w:top w:w="28" w:type="dxa"/>
          <w:left w:w="28" w:type="dxa"/>
          <w:bottom w:w="28" w:type="dxa"/>
          <w:right w:w="28" w:type="dxa"/>
        </w:tblCellMar>
      </w:tblPr>
      <w:tblGrid>
        <w:gridCol w:w="728"/>
        <w:gridCol w:w="639"/>
        <w:gridCol w:w="642"/>
        <w:gridCol w:w="211"/>
        <w:gridCol w:w="841"/>
        <w:gridCol w:w="109"/>
        <w:gridCol w:w="109"/>
        <w:gridCol w:w="109"/>
        <w:gridCol w:w="109"/>
        <w:gridCol w:w="211"/>
        <w:gridCol w:w="84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157,221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423,536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reported are attributed to geographic areas based on locations of the Company’s warehouses, except for platform commission revenues which are attributed to Hong Kong, where the server of GigaCloud Marketplace is located. Revenue by geography for the years ended December 31, 2021, 2022 and 2023 is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2"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tbl>
      <w:tblPr>
        <w:tblW w:w="7016" w:type="dxa"/>
        <w:jc w:val="center"/>
        <w:tblInd w:w="0" w:type="dxa"/>
        <w:tblLayout w:type="fixed"/>
        <w:tblCellMar>
          <w:top w:w="28" w:type="dxa"/>
          <w:left w:w="28" w:type="dxa"/>
          <w:bottom w:w="28" w:type="dxa"/>
          <w:right w:w="28" w:type="dxa"/>
        </w:tblCellMar>
      </w:tblPr>
      <w:tblGrid>
        <w:gridCol w:w="1025"/>
        <w:gridCol w:w="902"/>
        <w:gridCol w:w="907"/>
        <w:gridCol w:w="211"/>
        <w:gridCol w:w="841"/>
        <w:gridCol w:w="109"/>
        <w:gridCol w:w="109"/>
        <w:gridCol w:w="109"/>
        <w:gridCol w:w="109"/>
        <w:gridCol w:w="211"/>
        <w:gridCol w:w="841"/>
        <w:gridCol w:w="109"/>
        <w:gridCol w:w="109"/>
        <w:gridCol w:w="109"/>
        <w:gridCol w:w="109"/>
        <w:gridCol w:w="211"/>
        <w:gridCol w:w="84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 by geographic region:</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Service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98,332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140,628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199,184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Platform commission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Ocean transportation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19,703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Warehousing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24,423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Last-mile delivery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105,978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Packaging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17,296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20,597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Product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315,865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349,443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504,647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No other individual region's revenues exceeded 10% of the Company's total revenues for the years ended December 31, 2021, 2022 and 2023.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(ae) Statutory Reserves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PRC Company Laws, the paid-in capitals of the PRC subsidiaries and VIEs are not allowed to be transferred to the Company by way of cash dividends, loans or advances, nor can they be distributed except in the event of a liquidation.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accordance with the PRC Company Laws, the Group’s PRC subsidiaries and VIEs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after offsetting any prior year losses as determined under PRC GAAP. Appropriation is not required if the statutory surplus fund has reached 50% of the registered capital of the PRC companies. Appropriation to the discretionary surplus fund is made at the discretion of the PRC companies.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statutory surplus fund and discretionary surplus fund are restricted for use. They may only be applied to offset losses or increase the registered capital of the respective companies. These reserves are not allowed to be transferred to the Group by way of cash dividends, loans or advances, nor can they be distributed except in the event of a liquidation.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3"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appropriation to the reserve fund was made by the PRC subsidiaries and VIEs, as these PRC companies had accumulated losses as determined under PRC GAAP for the years ended December 31, 2021, 2022 and 2023.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(af) Recently Adopted Accounting Pronouncements </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shd w:fill="FFFFFF" w:val="clear"/>
        </w:rPr>
        <w:t xml:space="preserve">In June 2016, the Financial Accounting Standards Board ("FASB") issued Accounting Standards Update ("ASU") 2016-13, Financial Instruments-Credit Losses (Topic 326), Measurement of Credit Losses on Financial Instruments, and issued subsequent amendments to the initial guidance within ASU 2018-19, ASU 2019-04, ASU 2019-05, ASU 2019-11 and ASU 2020-02, collectively referred to as “ASC 326”. ASC 326 requires a financial asset (or a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The measurement of expected credit losses is based on relevant information about past events, including historical experience, current conditions, and reasonable and supportable forecasts that affect the collectability of the reported amount. ASC 326 eliminates the probable initial recognition threshold in current GAAP and, instead, reflects an entity’s current estimate of all expected credit losses. </w:t>
      </w:r>
      <w:r>
        <w:rPr>
          <w:rFonts w:ascii="Times New Roman;sans-serif" w:hAnsi="Times New Roman;sans-serif"/>
          <w:b w:val="false"/>
          <w:color w:val="000000"/>
          <w:sz w:val="20"/>
        </w:rPr>
        <w:t>The adoption of this standard resulted in a change of the Group’s provision policy primarily for accounts receivable. The Group adopted this ASC 326 on January 1, 2023 with no material impact on the consolidated financial statements</w:t>
      </w:r>
      <w:r>
        <w:rPr>
          <w:rFonts w:ascii="Times New Roman;sans-serif" w:hAnsi="Times New Roman;sans-serif"/>
          <w:b w:val="false"/>
          <w:color w:val="000000"/>
          <w:sz w:val="20"/>
          <w:shd w:fill="FFFFFF" w:val="clear"/>
        </w:rPr>
        <w:t>.</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2021, the FASB issued ASU 2021-08, Business Combinations (Topic 805): Accounting for Contract Assets and Contract Liabilities from Contracts with Customers. Under ASU 2021-08, an acquirer must recognize and measure contract assets and contract liabilities acquired in a business combination in accordance with Topic 606 as if it had originated the contracts. Prior to this ASU, an acquirer generally recognized contract assets acquired and contract liabilities assumed that arose from contracts with customers at fair value on the acquisition date. The Group adopted this ASU on January 1, 2023 and the adoption did not have a material impact on the Group’s consolidated financial statements.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(ag) Accounting Pronouncements Not Yet Adopted</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FASB issued ASU 2023-07, Segment Reporting (Topic 280): Improvements to Reportable Segment Disclosures, to update reportable segment disclosure requirements.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Group is currently evaluating the impact that the adoption of this standard will have on its consolidated financial statements and related disclosures.</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the FASB issued ASU 2023-09, Income Taxes (Topic 740): Improvements to Income Tax Disclosures, amending existing income tax disclosure guidance, primarily requiring more detailed disclosure for income taxes paid and the effective tax rate reconciliation. For public business entities, the amendments in this ASU are effective for annual periods beginning after December 15, 2024. For entities other than public business entities, the amendments are effective for annual periods beginning after December 15, 2025. Early adoption permitted and can be applied on either a prospective or retroactive basis. The Group is currently evaluating the impact that the adoption of this standard will have on its consolidated financial statements and related disclosures.</w:t>
      </w:r>
    </w:p>
    <w:p>
      <w:pPr>
        <w:pStyle w:val="TextBody"/>
        <w:bidi w:val="0"/>
        <w:spacing w:before="0" w:after="0"/>
        <w:jc w:val="left"/>
        <w:rPr/>
      </w:pPr>
      <w:r>
        <w:rPr/>
      </w:r>
    </w:p>
    <w:p>
      <w:pPr>
        <w:pStyle w:val="TextBody"/>
        <w:bidi w:val="0"/>
        <w:spacing w:before="0" w:after="0"/>
        <w:ind w:left="0" w:right="0" w:firstLine="110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BUSINESS COMBINATIONS </w:t>
      </w:r>
    </w:p>
    <w:p>
      <w:pPr>
        <w:pStyle w:val="TextBody"/>
        <w:bidi w:val="0"/>
        <w:spacing w:lineRule="auto" w:line="288" w:before="240" w:after="283"/>
        <w:ind w:left="0" w:right="0" w:firstLine="1102"/>
        <w:jc w:val="left"/>
        <w:rPr>
          <w:rFonts w:ascii="Times New Roman;sans-serif" w:hAnsi="Times New Roman;sans-serif"/>
          <w:b/>
          <w:color w:val="000000"/>
          <w:sz w:val="20"/>
        </w:rPr>
      </w:pPr>
      <w:r>
        <w:rPr>
          <w:rFonts w:ascii="Times New Roman;sans-serif" w:hAnsi="Times New Roman;sans-serif"/>
          <w:b/>
          <w:color w:val="000000"/>
          <w:sz w:val="20"/>
        </w:rPr>
        <w:t>Noble House</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 xml:space="preserve">In </w:t>
      </w:r>
      <w:r>
        <w:rPr>
          <w:rFonts w:ascii="Times New Roman;sans-serif" w:hAnsi="Times New Roman;sans-serif"/>
          <w:b w:val="false"/>
          <w:color w:val="000000"/>
          <w:sz w:val="20"/>
          <w:shd w:fill="FFFFFF" w:val="clear"/>
        </w:rPr>
        <w:t xml:space="preserve">October 2023, the Group completed its acquisition of Noble House Home Furnishings LLC (“Noble House”) as the successful bidder in connection with Noble House’s Chapter 11 bankruptcy proceedings. Noble House is a business to business ("B2B") distributor of indoor and outdoor home furnishing; the acquisition of Noble House accelerates our core strategy of building a diverse, large-scale B2B marketplace with high-quality, differentiated products. Noble House provides the Group with expansion of our operations into Canada and significant warehouse space.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determined the acquisition of Noble House to be a business combination under the provisions of ASC 805, as the acquisition represents an integrated set of inputs and processes that is capable of being conducted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4"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managed for the purpose of providing an output, or a return to investors. </w:t>
      </w:r>
      <w:r>
        <w:rPr>
          <w:rFonts w:ascii="Times New Roman;sans-serif" w:hAnsi="Times New Roman;sans-serif"/>
          <w:b w:val="false"/>
          <w:color w:val="000000"/>
          <w:sz w:val="20"/>
          <w:shd w:fill="FFFFFF" w:val="clear"/>
        </w:rPr>
        <w:t>The aggregate consideration was approximately $77.6 million. The Noble House acquisition was funded using cash on hand from operations. The acquisition of Noble House had no impact on the Group's weighted-average shares as no shares were issued.</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the assets acquired and liabilities assumed as of the acquisition date:</w:t>
      </w:r>
    </w:p>
    <w:tbl>
      <w:tblPr>
        <w:tblW w:w="5544" w:type="dxa"/>
        <w:jc w:val="left"/>
        <w:tblInd w:w="0" w:type="dxa"/>
        <w:tblLayout w:type="fixed"/>
        <w:tblCellMar>
          <w:top w:w="28" w:type="dxa"/>
          <w:left w:w="28" w:type="dxa"/>
          <w:bottom w:w="28" w:type="dxa"/>
          <w:right w:w="28" w:type="dxa"/>
        </w:tblCellMar>
      </w:tblPr>
      <w:tblGrid>
        <w:gridCol w:w="1380"/>
        <w:gridCol w:w="1212"/>
        <w:gridCol w:w="1233"/>
        <w:gridCol w:w="182"/>
        <w:gridCol w:w="182"/>
        <w:gridCol w:w="182"/>
        <w:gridCol w:w="448"/>
        <w:gridCol w:w="452"/>
        <w:gridCol w:w="273"/>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Prepayments and other current assets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(16,023)</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(151,344)</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non-current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70,873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5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77,623</w:t>
            </w:r>
            <w:r>
              <w:rPr>
                <w:color w:val="000000"/>
              </w:rPr>
              <w:t> </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recognized of $6.8 million represents the excess purchase price over the estimated fair value assigned to tangible and identifiable intangible assets acquired and liabilities assumed. Goodwill is attributable to expected synergies from future growth, including synergies in expansion into other markets and product types.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consist of $1.1 million in technology assets (amortized over 1.2 years), which was measured at fair value following the cost approach. The carrying value of accounts receivable, prepayments and other current assets, other non-current assets, accounts payable, and accrued expenses and other current liabilities approximate their fair value.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for Noble House were approximately $1.6 million. These were expensed as incurred and are included in general and administrative expenses within the consolidated statements of comprehensive income.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Since the date of the Noble House acquisition, the results of the acquisitions have been included in the Group’s consolidated results. The following amounts are included in the accompanying consolidated statements of comprehensive income for the year ended December 31, 2023:</w:t>
      </w:r>
    </w:p>
    <w:tbl>
      <w:tblPr>
        <w:tblW w:w="4482" w:type="dxa"/>
        <w:jc w:val="left"/>
        <w:tblInd w:w="0" w:type="dxa"/>
        <w:tblLayout w:type="fixed"/>
        <w:tblCellMar>
          <w:top w:w="28" w:type="dxa"/>
          <w:left w:w="28" w:type="dxa"/>
          <w:bottom w:w="28" w:type="dxa"/>
          <w:right w:w="28" w:type="dxa"/>
        </w:tblCellMar>
      </w:tblPr>
      <w:tblGrid>
        <w:gridCol w:w="332"/>
        <w:gridCol w:w="291"/>
        <w:gridCol w:w="293"/>
        <w:gridCol w:w="554"/>
        <w:gridCol w:w="554"/>
        <w:gridCol w:w="554"/>
        <w:gridCol w:w="554"/>
        <w:gridCol w:w="554"/>
        <w:gridCol w:w="7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November 1, 2023 to December 31, 2023</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31,514 </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5"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before="240" w:after="283"/>
        <w:ind w:left="0" w:right="0" w:firstLine="1102"/>
        <w:jc w:val="left"/>
        <w:rPr/>
      </w:pPr>
      <w:r>
        <w:rPr/>
      </w:r>
    </w:p>
    <w:p>
      <w:pPr>
        <w:pStyle w:val="TextBody"/>
        <w:bidi w:val="0"/>
        <w:spacing w:before="240" w:after="283"/>
        <w:ind w:left="0" w:right="0" w:firstLine="1102"/>
        <w:jc w:val="left"/>
        <w:rPr/>
      </w:pPr>
      <w:r>
        <w:rPr/>
      </w:r>
    </w:p>
    <w:p>
      <w:pPr>
        <w:pStyle w:val="TextBody"/>
        <w:bidi w:val="0"/>
        <w:spacing w:before="240" w:after="283"/>
        <w:ind w:left="0" w:right="0" w:firstLine="1102"/>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below is presented to illustrate the estimated effects of the acquisition of Noble House, as if they had occurred on January 1, 2021:</w:t>
      </w:r>
    </w:p>
    <w:p>
      <w:pPr>
        <w:pStyle w:val="TextBody"/>
        <w:bidi w:val="0"/>
        <w:spacing w:before="0" w:after="0"/>
        <w:ind w:left="0" w:right="0" w:firstLine="1109"/>
        <w:jc w:val="both"/>
        <w:rPr/>
      </w:pPr>
      <w:r>
        <w:rPr/>
      </w:r>
    </w:p>
    <w:tbl>
      <w:tblPr>
        <w:tblW w:w="5966" w:type="dxa"/>
        <w:jc w:val="left"/>
        <w:tblInd w:w="0" w:type="dxa"/>
        <w:tblLayout w:type="fixed"/>
        <w:tblCellMar>
          <w:top w:w="28" w:type="dxa"/>
          <w:left w:w="28" w:type="dxa"/>
          <w:bottom w:w="28" w:type="dxa"/>
          <w:right w:w="28" w:type="dxa"/>
        </w:tblCellMar>
      </w:tblPr>
      <w:tblGrid>
        <w:gridCol w:w="554"/>
        <w:gridCol w:w="486"/>
        <w:gridCol w:w="489"/>
        <w:gridCol w:w="211"/>
        <w:gridCol w:w="976"/>
        <w:gridCol w:w="109"/>
        <w:gridCol w:w="109"/>
        <w:gridCol w:w="109"/>
        <w:gridCol w:w="109"/>
        <w:gridCol w:w="211"/>
        <w:gridCol w:w="826"/>
        <w:gridCol w:w="109"/>
        <w:gridCol w:w="109"/>
        <w:gridCol w:w="109"/>
        <w:gridCol w:w="109"/>
        <w:gridCol w:w="211"/>
        <w:gridCol w:w="97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information was prepared using the acquisition method of accounting in accordance with ASC 805, Business Combinations. The unaudited pro forma information has been prepared for information purposes only and is not indicative of what the Group’s results of operations would have been had the transactions occurred on January 1, 2021, nor does it project the results of operations of the combined company following the transaction. </w:t>
      </w:r>
    </w:p>
    <w:p>
      <w:pPr>
        <w:pStyle w:val="TextBody"/>
        <w:bidi w:val="0"/>
        <w:spacing w:lineRule="auto" w:line="288" w:before="240" w:after="283"/>
        <w:ind w:left="0" w:right="0" w:firstLine="1102"/>
        <w:jc w:val="left"/>
        <w:rPr>
          <w:rFonts w:ascii="Times New Roman;sans-serif" w:hAnsi="Times New Roman;sans-serif"/>
          <w:b/>
          <w:color w:val="000000"/>
          <w:sz w:val="20"/>
        </w:rPr>
      </w:pPr>
      <w:r>
        <w:rPr>
          <w:rFonts w:ascii="Times New Roman;sans-serif" w:hAnsi="Times New Roman;sans-serif"/>
          <w:b/>
          <w:color w:val="000000"/>
          <w:sz w:val="20"/>
        </w:rPr>
        <w:t>Wondersign</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Group acquired all outstanding equity interest of Apexis, Inc., a Florida corporation dba Wondersign (“Wondersign”), a cloud-based interactive digital signage and e-catalog management SaaS company headquartered in Tampa, Florida, with access to thousands of storefronts across the United States. Wondersign provides the Group access to brick-and-mortar retail stores and allows the Group to launch to new customer solutions. The aggregate purchase price was approximately $10 million. The Wondersign acquisition was funded using cash on hand from operations. The acquisition of Wondersign had no impact on the Group's weighted-average shares as no shares were issued.</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the assets acquired and liabilities assumed as of the acquisition date:</w:t>
      </w:r>
    </w:p>
    <w:tbl>
      <w:tblPr>
        <w:tblW w:w="5334" w:type="dxa"/>
        <w:jc w:val="left"/>
        <w:tblInd w:w="0" w:type="dxa"/>
        <w:tblLayout w:type="fixed"/>
        <w:tblCellMar>
          <w:top w:w="28" w:type="dxa"/>
          <w:left w:w="28" w:type="dxa"/>
          <w:bottom w:w="28" w:type="dxa"/>
          <w:right w:w="28" w:type="dxa"/>
        </w:tblCellMar>
      </w:tblPr>
      <w:tblGrid>
        <w:gridCol w:w="1381"/>
        <w:gridCol w:w="1212"/>
        <w:gridCol w:w="1232"/>
        <w:gridCol w:w="182"/>
        <w:gridCol w:w="182"/>
        <w:gridCol w:w="182"/>
        <w:gridCol w:w="344"/>
        <w:gridCol w:w="346"/>
        <w:gridCol w:w="273"/>
      </w:tblGrid>
      <w:tr>
        <w:trPr/>
        <w:tc>
          <w:tcPr>
            <w:tcW w:w="138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4,109</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5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9,945</w:t>
            </w:r>
            <w:r>
              <w:rPr>
                <w:color w:val="000000"/>
              </w:rPr>
              <w:t>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Goodwill recognized of $5.8 million represents the excess purchase price over the estimated fair value assigned to tangible and identifiable intangible assets acquired and liabilities assumed. Goodwill is attributable to expected synergies from future growth, including synergies in expansion into other markets and product types.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6"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of $7.6 million primarily consist of $5.4 million in technology assets (amortized over 5 years) and $2.2 million in customer relationships (amortized over 15 years), which was measured at fair value following the cost approach and income approach, respectively. The carrying value of accounts receivable, prepayments and other current assets, and accounts payable approximate their fair value.</w:t>
      </w:r>
    </w:p>
    <w:p>
      <w:pPr>
        <w:pStyle w:val="TextBody"/>
        <w:bidi w:val="0"/>
        <w:spacing w:lineRule="auto" w:line="288" w:before="240" w:after="283"/>
        <w:ind w:left="0" w:right="0" w:firstLine="110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Acquisition-related costs for Wondersign were approximately $338 thousand. These were expensed as incurred and are included in general and administrative expenses within the consolidated statements of comprehensive income.</w:t>
      </w:r>
    </w:p>
    <w:p>
      <w:pPr>
        <w:pStyle w:val="TextBody"/>
        <w:bidi w:val="0"/>
        <w:spacing w:lineRule="auto" w:line="288" w:before="240" w:after="283"/>
        <w:ind w:left="0" w:right="0" w:firstLine="110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Supplemental pro forma financial information as if the acquisition of Wondersign had occurred as of the beginning of the comparable prior annual reporting period has not been presented as the acquisition was not material to the Group’s results of operations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4. ACCOUNTS RECEIVABLE, NET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consisted of the following: </w:t>
      </w:r>
    </w:p>
    <w:tbl>
      <w:tblPr>
        <w:tblW w:w="5679" w:type="dxa"/>
        <w:jc w:val="center"/>
        <w:tblInd w:w="0" w:type="dxa"/>
        <w:tblLayout w:type="fixed"/>
        <w:tblCellMar>
          <w:top w:w="28" w:type="dxa"/>
          <w:left w:w="28" w:type="dxa"/>
          <w:bottom w:w="28" w:type="dxa"/>
          <w:right w:w="28" w:type="dxa"/>
        </w:tblCellMar>
      </w:tblPr>
      <w:tblGrid>
        <w:gridCol w:w="1158"/>
        <w:gridCol w:w="1017"/>
        <w:gridCol w:w="1020"/>
        <w:gridCol w:w="211"/>
        <w:gridCol w:w="736"/>
        <w:gridCol w:w="109"/>
        <w:gridCol w:w="109"/>
        <w:gridCol w:w="109"/>
        <w:gridCol w:w="109"/>
        <w:gridCol w:w="211"/>
        <w:gridCol w:w="736"/>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27,142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58,876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movement of the allowance for doubtful accounts is as follows: </w:t>
      </w:r>
    </w:p>
    <w:tbl>
      <w:tblPr>
        <w:tblW w:w="6656" w:type="dxa"/>
        <w:jc w:val="center"/>
        <w:tblInd w:w="0" w:type="dxa"/>
        <w:tblLayout w:type="fixed"/>
        <w:tblCellMar>
          <w:top w:w="28" w:type="dxa"/>
          <w:left w:w="28" w:type="dxa"/>
          <w:bottom w:w="28" w:type="dxa"/>
          <w:right w:w="28" w:type="dxa"/>
        </w:tblCellMar>
      </w:tblPr>
      <w:tblGrid>
        <w:gridCol w:w="1222"/>
        <w:gridCol w:w="1074"/>
        <w:gridCol w:w="1078"/>
        <w:gridCol w:w="211"/>
        <w:gridCol w:w="541"/>
        <w:gridCol w:w="109"/>
        <w:gridCol w:w="109"/>
        <w:gridCol w:w="109"/>
        <w:gridCol w:w="109"/>
        <w:gridCol w:w="211"/>
        <w:gridCol w:w="541"/>
        <w:gridCol w:w="109"/>
        <w:gridCol w:w="109"/>
        <w:gridCol w:w="109"/>
        <w:gridCol w:w="109"/>
        <w:gridCol w:w="211"/>
        <w:gridCol w:w="54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the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bad debt expense</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5. INVENTORIES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consisted of the following: </w:t>
      </w:r>
    </w:p>
    <w:tbl>
      <w:tblPr>
        <w:tblW w:w="4839" w:type="dxa"/>
        <w:jc w:val="center"/>
        <w:tblInd w:w="0" w:type="dxa"/>
        <w:tblLayout w:type="fixed"/>
        <w:tblCellMar>
          <w:top w:w="28" w:type="dxa"/>
          <w:left w:w="28" w:type="dxa"/>
          <w:bottom w:w="28" w:type="dxa"/>
          <w:right w:w="28" w:type="dxa"/>
        </w:tblCellMar>
      </w:tblPr>
      <w:tblGrid>
        <w:gridCol w:w="814"/>
        <w:gridCol w:w="715"/>
        <w:gridCol w:w="721"/>
        <w:gridCol w:w="211"/>
        <w:gridCol w:w="736"/>
        <w:gridCol w:w="109"/>
        <w:gridCol w:w="109"/>
        <w:gridCol w:w="109"/>
        <w:gridCol w:w="109"/>
        <w:gridCol w:w="211"/>
        <w:gridCol w:w="84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available for sale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in transit</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40,188 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78,338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132,247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7"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6. PREPAYMENTS AND OTHER CURRENT ASSETS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Prepayments and other current assets are consisted of the following: </w:t>
      </w:r>
    </w:p>
    <w:tbl>
      <w:tblPr>
        <w:tblW w:w="6474" w:type="dxa"/>
        <w:jc w:val="center"/>
        <w:tblInd w:w="0" w:type="dxa"/>
        <w:tblLayout w:type="fixed"/>
        <w:tblCellMar>
          <w:top w:w="28" w:type="dxa"/>
          <w:left w:w="28" w:type="dxa"/>
          <w:bottom w:w="28" w:type="dxa"/>
          <w:right w:w="28" w:type="dxa"/>
        </w:tblCellMar>
      </w:tblPr>
      <w:tblGrid>
        <w:gridCol w:w="1484"/>
        <w:gridCol w:w="1304"/>
        <w:gridCol w:w="1307"/>
        <w:gridCol w:w="211"/>
        <w:gridCol w:w="631"/>
        <w:gridCol w:w="109"/>
        <w:gridCol w:w="109"/>
        <w:gridCol w:w="109"/>
        <w:gridCol w:w="109"/>
        <w:gridCol w:w="211"/>
        <w:gridCol w:w="73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Value-added taxes recoverable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third-party payment platforms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Prepayments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17,516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deposits recorded in the prepayments and other current assets represent the deposits made to lessors for leasing warehouses and equipment, which are receivable within a year. The deposits of $3,182 thousand and $6,880 thousand as of December 31, 2022 and 2023, respectively, that are expected to be received beyond a year are recorded in the non-current assets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7. PROPERTY AND EQUIPMENT, NET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as of December 31, 2022 and 2023 consisted of the following: </w:t>
      </w:r>
    </w:p>
    <w:tbl>
      <w:tblPr>
        <w:tblW w:w="6563" w:type="dxa"/>
        <w:jc w:val="center"/>
        <w:tblInd w:w="0" w:type="dxa"/>
        <w:tblLayout w:type="fixed"/>
        <w:tblCellMar>
          <w:top w:w="28" w:type="dxa"/>
          <w:left w:w="28" w:type="dxa"/>
          <w:bottom w:w="28" w:type="dxa"/>
          <w:right w:w="28" w:type="dxa"/>
        </w:tblCellMar>
      </w:tblPr>
      <w:tblGrid>
        <w:gridCol w:w="1478"/>
        <w:gridCol w:w="1297"/>
        <w:gridCol w:w="1304"/>
        <w:gridCol w:w="211"/>
        <w:gridCol w:w="736"/>
        <w:gridCol w:w="109"/>
        <w:gridCol w:w="109"/>
        <w:gridCol w:w="109"/>
        <w:gridCol w:w="109"/>
        <w:gridCol w:w="211"/>
        <w:gridCol w:w="736"/>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other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Logistics, warehouse and other heavy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15,648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29,590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13,053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24,614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the Group’s property and equipment, net, acquired under finance leases as of December 31, 2022 and 2023 were as follows: </w:t>
      </w:r>
    </w:p>
    <w:tbl>
      <w:tblPr>
        <w:tblW w:w="6534" w:type="dxa"/>
        <w:jc w:val="center"/>
        <w:tblInd w:w="0" w:type="dxa"/>
        <w:tblLayout w:type="fixed"/>
        <w:tblCellMar>
          <w:top w:w="28" w:type="dxa"/>
          <w:left w:w="28" w:type="dxa"/>
          <w:bottom w:w="28" w:type="dxa"/>
          <w:right w:w="28" w:type="dxa"/>
        </w:tblCellMar>
      </w:tblPr>
      <w:tblGrid>
        <w:gridCol w:w="1478"/>
        <w:gridCol w:w="1297"/>
        <w:gridCol w:w="1305"/>
        <w:gridCol w:w="211"/>
        <w:gridCol w:w="721"/>
        <w:gridCol w:w="109"/>
        <w:gridCol w:w="109"/>
        <w:gridCol w:w="109"/>
        <w:gridCol w:w="109"/>
        <w:gridCol w:w="211"/>
        <w:gridCol w:w="721"/>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Logistics, warehouse and other heavy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10,222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9,089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8,616</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8"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expenses on property and equipment were allocated to the following expense items: </w:t>
      </w:r>
    </w:p>
    <w:tbl>
      <w:tblPr>
        <w:tblW w:w="6491" w:type="dxa"/>
        <w:jc w:val="center"/>
        <w:tblInd w:w="0" w:type="dxa"/>
        <w:tblLayout w:type="fixed"/>
        <w:tblCellMar>
          <w:top w:w="28" w:type="dxa"/>
          <w:left w:w="28" w:type="dxa"/>
          <w:bottom w:w="28" w:type="dxa"/>
          <w:right w:w="28" w:type="dxa"/>
        </w:tblCellMar>
      </w:tblPr>
      <w:tblGrid>
        <w:gridCol w:w="1117"/>
        <w:gridCol w:w="984"/>
        <w:gridCol w:w="988"/>
        <w:gridCol w:w="211"/>
        <w:gridCol w:w="481"/>
        <w:gridCol w:w="109"/>
        <w:gridCol w:w="109"/>
        <w:gridCol w:w="109"/>
        <w:gridCol w:w="109"/>
        <w:gridCol w:w="211"/>
        <w:gridCol w:w="631"/>
        <w:gridCol w:w="109"/>
        <w:gridCol w:w="109"/>
        <w:gridCol w:w="109"/>
        <w:gridCol w:w="109"/>
        <w:gridCol w:w="211"/>
        <w:gridCol w:w="631"/>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depreciation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2,563</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GOODWILL AND INTANGIBLE ASSETS</w:t>
      </w:r>
    </w:p>
    <w:p>
      <w:pPr>
        <w:pStyle w:val="TextBody"/>
        <w:bidi w:val="0"/>
        <w:spacing w:lineRule="auto" w:line="288" w:before="240" w:after="283"/>
        <w:ind w:left="0" w:right="0" w:firstLine="1102"/>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goodwill activity:</w:t>
      </w:r>
    </w:p>
    <w:tbl>
      <w:tblPr>
        <w:tblW w:w="4003" w:type="dxa"/>
        <w:jc w:val="left"/>
        <w:tblInd w:w="0" w:type="dxa"/>
        <w:tblLayout w:type="fixed"/>
        <w:tblCellMar>
          <w:top w:w="28" w:type="dxa"/>
          <w:left w:w="28" w:type="dxa"/>
          <w:bottom w:w="28" w:type="dxa"/>
          <w:right w:w="28" w:type="dxa"/>
        </w:tblCellMar>
      </w:tblPr>
      <w:tblGrid>
        <w:gridCol w:w="1021"/>
        <w:gridCol w:w="896"/>
        <w:gridCol w:w="902"/>
        <w:gridCol w:w="227"/>
        <w:gridCol w:w="792"/>
        <w:gridCol w:w="165"/>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(Note 3)</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12,586</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102"/>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2023 Goodwill Activity</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2023 primarily relates to our acquisitions of Noble House in October 2023 and Wondersign in November 2023. See Note 3 for further discussion of business acquisitions.</w:t>
      </w:r>
    </w:p>
    <w:p>
      <w:pPr>
        <w:pStyle w:val="TextBody"/>
        <w:bidi w:val="0"/>
        <w:spacing w:before="0" w:after="0"/>
        <w:jc w:val="left"/>
        <w:rPr/>
      </w:pPr>
      <w:r>
        <w:rPr/>
      </w:r>
    </w:p>
    <w:p>
      <w:pPr>
        <w:pStyle w:val="TextBody"/>
        <w:bidi w:val="0"/>
        <w:spacing w:lineRule="auto" w:line="288" w:before="240" w:after="283"/>
        <w:ind w:left="0" w:right="0" w:firstLine="1102"/>
        <w:jc w:val="left"/>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gross amounts and accumulated amortization of intangible assets with finite useful lives as of December 31, 2023, included in intangible assets, net in the accompanying consolidated balance sheets, are as follows:</w:t>
      </w:r>
    </w:p>
    <w:tbl>
      <w:tblPr>
        <w:tblW w:w="7965" w:type="dxa"/>
        <w:jc w:val="left"/>
        <w:tblInd w:w="0" w:type="dxa"/>
        <w:tblLayout w:type="fixed"/>
        <w:tblCellMar>
          <w:top w:w="28" w:type="dxa"/>
          <w:left w:w="28" w:type="dxa"/>
          <w:bottom w:w="28" w:type="dxa"/>
          <w:right w:w="28" w:type="dxa"/>
        </w:tblCellMar>
      </w:tblPr>
      <w:tblGrid>
        <w:gridCol w:w="955"/>
        <w:gridCol w:w="842"/>
        <w:gridCol w:w="843"/>
        <w:gridCol w:w="379"/>
        <w:gridCol w:w="379"/>
        <w:gridCol w:w="382"/>
        <w:gridCol w:w="999"/>
        <w:gridCol w:w="999"/>
        <w:gridCol w:w="1002"/>
        <w:gridCol w:w="251"/>
        <w:gridCol w:w="751"/>
        <w:gridCol w:w="183"/>
      </w:tblGrid>
      <w:tr>
        <w:trPr/>
        <w:tc>
          <w:tcPr>
            <w:tcW w:w="95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Amortization Period</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assets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1.0-5.0 years</w:t>
            </w:r>
          </w:p>
        </w:tc>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years</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years</w:t>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8,677</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8,367</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with finite useful lives included in the Group's consolidated statements of comprehensive income was $310 thousand for the year ended December 31, 2023. The Group had no intangible assets prior to 2023.</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Future estimated amortization expense as of December 31, 2023, for identifiable intangible assets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9"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tbl>
      <w:tblPr>
        <w:tblW w:w="3629" w:type="dxa"/>
        <w:jc w:val="left"/>
        <w:tblInd w:w="0" w:type="dxa"/>
        <w:tblLayout w:type="fixed"/>
        <w:tblCellMar>
          <w:top w:w="28" w:type="dxa"/>
          <w:left w:w="28" w:type="dxa"/>
          <w:bottom w:w="28" w:type="dxa"/>
          <w:right w:w="28" w:type="dxa"/>
        </w:tblCellMar>
      </w:tblPr>
      <w:tblGrid>
        <w:gridCol w:w="883"/>
        <w:gridCol w:w="775"/>
        <w:gridCol w:w="786"/>
        <w:gridCol w:w="251"/>
        <w:gridCol w:w="751"/>
        <w:gridCol w:w="183"/>
      </w:tblGrid>
      <w:tr>
        <w:trPr/>
        <w:tc>
          <w:tcPr>
            <w:tcW w:w="88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amortization expense</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8,367</w:t>
            </w: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BORROWINGS</w:t>
      </w:r>
    </w:p>
    <w:tbl>
      <w:tblPr>
        <w:tblW w:w="5993" w:type="dxa"/>
        <w:jc w:val="center"/>
        <w:tblInd w:w="0" w:type="dxa"/>
        <w:tblLayout w:type="fixed"/>
        <w:tblCellMar>
          <w:top w:w="28" w:type="dxa"/>
          <w:left w:w="28" w:type="dxa"/>
          <w:bottom w:w="28" w:type="dxa"/>
          <w:right w:w="28" w:type="dxa"/>
        </w:tblCellMar>
      </w:tblPr>
      <w:tblGrid>
        <w:gridCol w:w="1486"/>
        <w:gridCol w:w="1309"/>
        <w:gridCol w:w="1314"/>
        <w:gridCol w:w="211"/>
        <w:gridCol w:w="466"/>
        <w:gridCol w:w="109"/>
        <w:gridCol w:w="109"/>
        <w:gridCol w:w="109"/>
        <w:gridCol w:w="109"/>
        <w:gridCol w:w="211"/>
        <w:gridCol w:w="406"/>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bank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borrowings</w:t>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excluding current portion</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and October of 2020, the Group borrowed two three-year loans from MIZUHO Bank with the principal amounts of $375 thousand and $756 thousand, respectively. The loans bear no interest and are guaranteed by the chairman of the board of Oriental Standard Japan Co., Ltd. The Group repaid the bank loans during the years ended December 31, 2021, 2022 and 2023. As of December 31, 2023, all loans were fully repaid.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10. ACCOUNTS PAYABLE </w:t>
      </w:r>
    </w:p>
    <w:tbl>
      <w:tblPr>
        <w:tblW w:w="5589" w:type="dxa"/>
        <w:jc w:val="center"/>
        <w:tblInd w:w="0" w:type="dxa"/>
        <w:tblLayout w:type="fixed"/>
        <w:tblCellMar>
          <w:top w:w="28" w:type="dxa"/>
          <w:left w:w="28" w:type="dxa"/>
          <w:bottom w:w="28" w:type="dxa"/>
          <w:right w:w="28" w:type="dxa"/>
        </w:tblCellMar>
      </w:tblPr>
      <w:tblGrid>
        <w:gridCol w:w="1123"/>
        <w:gridCol w:w="989"/>
        <w:gridCol w:w="993"/>
        <w:gridCol w:w="211"/>
        <w:gridCol w:w="736"/>
        <w:gridCol w:w="109"/>
        <w:gridCol w:w="109"/>
        <w:gridCol w:w="109"/>
        <w:gridCol w:w="109"/>
        <w:gridCol w:w="211"/>
        <w:gridCol w:w="73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Shipping charges payable and others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40,004 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31,573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69,757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0"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ACCRUED EXPENSES AND OTHER CURRENT LIABILITIES</w:t>
      </w:r>
    </w:p>
    <w:tbl>
      <w:tblPr>
        <w:tblW w:w="6653" w:type="dxa"/>
        <w:jc w:val="center"/>
        <w:tblInd w:w="0" w:type="dxa"/>
        <w:tblLayout w:type="fixed"/>
        <w:tblCellMar>
          <w:top w:w="28" w:type="dxa"/>
          <w:left w:w="28" w:type="dxa"/>
          <w:bottom w:w="28" w:type="dxa"/>
          <w:right w:w="28" w:type="dxa"/>
        </w:tblCellMar>
      </w:tblPr>
      <w:tblGrid>
        <w:gridCol w:w="1509"/>
        <w:gridCol w:w="1326"/>
        <w:gridCol w:w="1334"/>
        <w:gridCol w:w="211"/>
        <w:gridCol w:w="736"/>
        <w:gridCol w:w="109"/>
        <w:gridCol w:w="109"/>
        <w:gridCol w:w="109"/>
        <w:gridCol w:w="109"/>
        <w:gridCol w:w="211"/>
        <w:gridCol w:w="736"/>
        <w:gridCol w:w="154"/>
      </w:tblGrid>
      <w:tr>
        <w:trPr/>
        <w:tc>
          <w:tcPr>
            <w:tcW w:w="15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on GigaCloud Marketplace*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payables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welfare payables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refund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taxes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current (See Note 12)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 accruals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the remorse protection program</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consideration of restricted shares**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classified share-based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37,062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57,319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*Receipts on GigaCloud Marketplace include (1) refundable deposits on GigaCloud Marketplace, representing the balance of deposits from Buyers and Sellers which could be withdrawn or used for their future purchase of the Group’s services or merchandise on GigaCloud Marketplace; and, (2) amounts payable to Sellers that the Group collects from Buyers in relation to the GigaCloud 3P services it provides on GigaCloud Marketplace. </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2017 Share Incentive Plan, in February 2022, the board of directors resolved to grant 210,898 restricted shares to its employees and non-employee service providers. The amount of $1,578 thousand prepayment of consideration that was received by the Group before cliff vesting of such restricted shares was initially recorded in accrued expenses and other current liabilities. During the year ended December 31, 2023, $438 thousand of prepaid consideration was transferred from accrued expenses and other current liabilities to equity upon vesting of the restricted shares, while the remaining $79 thousand was recorded in accrued expenses and other current liabilities within the consolidated balance sheets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leases its office space and warehouse facilities under non-cancelable leases with various expiration dates. The Group also has equipment that is leased under non-cancelable finance leases. The Group considers various factors such as market conditions and the terms of any renewal options that may exist to determine whether it will renew or replace the lease. In the event the Group is reasonably certain to exercise the option to extend a lease, the Group will include the extended terms in the operating lease right-of-use asset and operating lease liability. Certain warehouse storage shelves are leased under finance leases, which have a fixed lease term of three years from the lease commencement dates. Leases with an initial term of 12 months or less are not recorded on the balance sheet; the Group recognizes lease expense for these leases on a straight-line basis over the lease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1"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gross amounts of assets and liabilities related to both operating and finance leases were as follows: </w:t>
      </w:r>
    </w:p>
    <w:tbl>
      <w:tblPr>
        <w:tblW w:w="8765" w:type="dxa"/>
        <w:jc w:val="center"/>
        <w:tblInd w:w="0" w:type="dxa"/>
        <w:tblLayout w:type="fixed"/>
        <w:tblCellMar>
          <w:top w:w="28" w:type="dxa"/>
          <w:left w:w="28" w:type="dxa"/>
          <w:bottom w:w="28" w:type="dxa"/>
          <w:right w:w="28" w:type="dxa"/>
        </w:tblCellMar>
      </w:tblPr>
      <w:tblGrid>
        <w:gridCol w:w="1040"/>
        <w:gridCol w:w="916"/>
        <w:gridCol w:w="924"/>
        <w:gridCol w:w="953"/>
        <w:gridCol w:w="953"/>
        <w:gridCol w:w="958"/>
        <w:gridCol w:w="109"/>
        <w:gridCol w:w="109"/>
        <w:gridCol w:w="109"/>
        <w:gridCol w:w="211"/>
        <w:gridCol w:w="841"/>
        <w:gridCol w:w="109"/>
        <w:gridCol w:w="109"/>
        <w:gridCol w:w="109"/>
        <w:gridCol w:w="109"/>
        <w:gridCol w:w="211"/>
        <w:gridCol w:w="84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398,922 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right-of-use assets</w:t>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153,257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407,538</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55" w:type="dxa"/>
        <w:jc w:val="center"/>
        <w:tblInd w:w="0" w:type="dxa"/>
        <w:tblLayout w:type="fixed"/>
        <w:tblCellMar>
          <w:top w:w="28" w:type="dxa"/>
          <w:left w:w="28" w:type="dxa"/>
          <w:bottom w:w="28" w:type="dxa"/>
          <w:right w:w="28" w:type="dxa"/>
        </w:tblCellMar>
      </w:tblPr>
      <w:tblGrid>
        <w:gridCol w:w="798"/>
        <w:gridCol w:w="701"/>
        <w:gridCol w:w="705"/>
        <w:gridCol w:w="1268"/>
        <w:gridCol w:w="1268"/>
        <w:gridCol w:w="1274"/>
        <w:gridCol w:w="109"/>
        <w:gridCol w:w="109"/>
        <w:gridCol w:w="109"/>
        <w:gridCol w:w="211"/>
        <w:gridCol w:w="901"/>
        <w:gridCol w:w="109"/>
        <w:gridCol w:w="109"/>
        <w:gridCol w:w="109"/>
        <w:gridCol w:w="109"/>
        <w:gridCol w:w="211"/>
        <w:gridCol w:w="90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(343,511)</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(148,000)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(403,237)</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lease cost were as follows: </w:t>
      </w:r>
    </w:p>
    <w:tbl>
      <w:tblPr>
        <w:tblW w:w="5394" w:type="dxa"/>
        <w:jc w:val="center"/>
        <w:tblInd w:w="0" w:type="dxa"/>
        <w:tblLayout w:type="fixed"/>
        <w:tblCellMar>
          <w:top w:w="28" w:type="dxa"/>
          <w:left w:w="28" w:type="dxa"/>
          <w:bottom w:w="28" w:type="dxa"/>
          <w:right w:w="28" w:type="dxa"/>
        </w:tblCellMar>
      </w:tblPr>
      <w:tblGrid>
        <w:gridCol w:w="1053"/>
        <w:gridCol w:w="925"/>
        <w:gridCol w:w="932"/>
        <w:gridCol w:w="211"/>
        <w:gridCol w:w="736"/>
        <w:gridCol w:w="109"/>
        <w:gridCol w:w="109"/>
        <w:gridCol w:w="109"/>
        <w:gridCol w:w="109"/>
        <w:gridCol w:w="211"/>
        <w:gridCol w:w="73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31,081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41,778</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terms and discount rates are as follows: </w:t>
      </w:r>
    </w:p>
    <w:tbl>
      <w:tblPr>
        <w:tblW w:w="6388" w:type="dxa"/>
        <w:jc w:val="center"/>
        <w:tblInd w:w="0" w:type="dxa"/>
        <w:tblLayout w:type="fixed"/>
        <w:tblCellMar>
          <w:top w:w="28" w:type="dxa"/>
          <w:left w:w="28" w:type="dxa"/>
          <w:bottom w:w="28" w:type="dxa"/>
          <w:right w:w="28" w:type="dxa"/>
        </w:tblCellMar>
      </w:tblPr>
      <w:tblGrid>
        <w:gridCol w:w="1520"/>
        <w:gridCol w:w="1336"/>
        <w:gridCol w:w="1344"/>
        <w:gridCol w:w="307"/>
        <w:gridCol w:w="309"/>
        <w:gridCol w:w="292"/>
        <w:gridCol w:w="109"/>
        <w:gridCol w:w="109"/>
        <w:gridCol w:w="109"/>
        <w:gridCol w:w="307"/>
        <w:gridCol w:w="309"/>
        <w:gridCol w:w="337"/>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2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3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2"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December 31, 2023, including rental payments for lease renewal options the Group is reasonably certain to exercise were as follows:</w:t>
      </w:r>
    </w:p>
    <w:tbl>
      <w:tblPr>
        <w:tblW w:w="6101" w:type="dxa"/>
        <w:jc w:val="center"/>
        <w:tblInd w:w="0" w:type="dxa"/>
        <w:tblLayout w:type="fixed"/>
        <w:tblCellMar>
          <w:top w:w="28" w:type="dxa"/>
          <w:left w:w="28" w:type="dxa"/>
          <w:bottom w:w="28" w:type="dxa"/>
          <w:right w:w="28" w:type="dxa"/>
        </w:tblCellMar>
      </w:tblPr>
      <w:tblGrid>
        <w:gridCol w:w="1005"/>
        <w:gridCol w:w="884"/>
        <w:gridCol w:w="886"/>
        <w:gridCol w:w="286"/>
        <w:gridCol w:w="1141"/>
        <w:gridCol w:w="147"/>
        <w:gridCol w:w="109"/>
        <w:gridCol w:w="109"/>
        <w:gridCol w:w="109"/>
        <w:gridCol w:w="302"/>
        <w:gridCol w:w="903"/>
        <w:gridCol w:w="220"/>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Finance leases</w:t>
            </w:r>
            <w:r>
              <w:rPr>
                <w:color w:val="000000"/>
              </w:rPr>
              <w:t xml:space="preserve"> </w:t>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Maturity of Lease Liabilities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220"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451,640 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401,460</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1,777</w:t>
            </w: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related to leases was as follows: </w:t>
      </w:r>
    </w:p>
    <w:tbl>
      <w:tblPr>
        <w:tblW w:w="8453" w:type="dxa"/>
        <w:jc w:val="center"/>
        <w:tblInd w:w="0" w:type="dxa"/>
        <w:tblLayout w:type="fixed"/>
        <w:tblCellMar>
          <w:top w:w="28" w:type="dxa"/>
          <w:left w:w="28" w:type="dxa"/>
          <w:bottom w:w="28" w:type="dxa"/>
          <w:right w:w="28" w:type="dxa"/>
        </w:tblCellMar>
      </w:tblPr>
      <w:tblGrid>
        <w:gridCol w:w="2174"/>
        <w:gridCol w:w="1908"/>
        <w:gridCol w:w="1917"/>
        <w:gridCol w:w="211"/>
        <w:gridCol w:w="721"/>
        <w:gridCol w:w="109"/>
        <w:gridCol w:w="109"/>
        <w:gridCol w:w="109"/>
        <w:gridCol w:w="109"/>
        <w:gridCol w:w="211"/>
        <w:gridCol w:w="721"/>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37,730 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color w:val="000000"/>
                <w:sz w:val="20"/>
              </w:rPr>
              <w:t xml:space="preserve">Right-of-use assets obtained in exchange for lease obligations </w:t>
            </w:r>
            <w:r>
              <w:rPr>
                <w:rFonts w:ascii="Times New Roman;sans-serif" w:hAnsi="Times New Roman;sans-serif"/>
                <w:b/>
                <w:color w:val="000000"/>
                <w:sz w:val="13"/>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291,816 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a.This supplemental non-cash disclosure for right of use assets obtained in exchange for new lease liabilities refers to an increase in lease liabilities associated with obtaining new right of use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13. PREFERRED SHARES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Series A Preferred Shares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2006, DCM IV, L.P. (“DCM IV”), DCM Affiliates Fund IV, L.P. (“DCM IV Affiliates”, together with DCM IV are referred to as “DCM”) and DT Ventures China Fund II, L.P. (“DT”) lent loans with an aggregate amount of $600 thousand to the Company. The loans assumed an interest rate of 7.04% per annum.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23, 2006, DCM IV, DCM IV Affiliates and DT respectively subscribed 83,477 shares, 2,123 shares and 36,400 shares of Series A Convertible Preferred Shares (in aggregate of 122,000 shares, “Series A Preferred Shares”), at $50 per share with total cash consideration of $6,100 thousand. On the same day, DCM IV, DCM IV Affiliates and DT converted the loans and accrued interest, with total amount of $610 thousand, into 8,322 shares, 211 shares and 3,657 shares of Series A Preferred Shares, respectively, (12,190 shares in aggregate), at $50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3"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Series B Preferred Shares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25, 2009, DCM and DT lent loans with an aggregate amount of $2,500 thousand to the Company. The loans did not bear an interest rate. On February 28, 2013, DCM IV, DCM IV Affiliates and DT respectively subscribed to 4,462,264, 113,478 and 1,708,431 of Series B Convertible Preferred Shares (in aggregate of 6,284,173 shares, “Series B Preferred Shares”), at $0.32 per share with total consideration of $2,000 thousand. On the same day, DCM IV, DCM IV Affiliates and DT converted the loans with total amount of $2,500 thousand into 5,373,699 shares, 136,656 shares and 2,344,859 shares of Series B Preferred Shares, respectively, (7,855,214 shares in aggregate) at $0.32 per share. On February 28, 2013, Larry Lei Wu subscribed 1,571,043 shares of Series B Preferred Shares at $0.32 per share with total cash consideration of $500 thousand.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2013, the Company entered into a share repurchase agreement, pursuant to which the Company repurchased 4,075,522 shares, 103,643 shares and 1,539,677 shares of Series B Preferred Shares from DCM IV, DCM IV Affiliates and DT, respectively, (in aggregate of 5,718,842 shares, “Repurchased Shares”), at a repurchase consideration of one U.S. dollar for each investor. All of these Repurchased Shares were canceled immediately on the same day. The Company considered such repurchase a linked transaction with the subscription of Series B Preferred Shares as mentioned in above.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Series C Preferred Shares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2014, the Company acquired Comptree International Limited. (“Comptree”) by issuing 2,905,802 shares of ordinary shares to FireDragon Holdings Inc. (“FireDragon”), 964,981 ordinary shares to DCM IV, 24,540 ordinary shares to DCM IV Affiliates and 4,358,702 Series C convertible Preferred Shares (“Series C Preferred Shares”) to DT eCommerce Investment Limited (“DT eCommerce”) in exchange for 100% shares of interests in Comptree held by FireDragon and DT eCommerce, for the purpose of the Group’s business expansion into the United States. FireDragon was owned by the founder of Comptree. DT eCommerce was under common control of DT. Based on the mutual understanding of all parties, 794,822 shares of ordinary shares issued to FireDragon was shares granted to Lianya Pan for his continuing service to the Group, who was the previous chief executive officer of Comptree and sole shareholder of FireDragon. The remaining ordinary shares issued to FireDragon and Series C Preferred Shares issued to DT eCommerce were considered as the acquisition consideration of Comptree.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the common shares and Series C Preferred Shares issued as mentioned above, the Company measured their fair value as of the acquisition date. Fair value is estimated based a discounted cash flow method, as of the valuation date.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Series D Preferred Shares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2017, Hong Kong Red Star Macalline Universal Home Furnishings Limited (“Red Star”) subscribed 2,943,786 Series D Convertible Preferred Shares (“Series D Preferred Shares”) at $2.74 per share with total cash consideration of $8,053 thousand.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Series E Preferred Shares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24, 2020, Honeysuckle Creek Limited (“JD”) and HUA YUAN INTERNATIONAL LIMITED (“HUA YUAN”) respectively subscribed 2,719,802 shares and 1,279,907 Series E Convertible Redeemable Preferred Shares (in aggregate of 3,999,709 shares, “Series E Preferred Shares”), at $6.25 per share with total cash consideration of $25,000 thousand.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preferences and privileges of the Preferred Shares are as follows: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Redemption Rights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redemption rights for the Series A, B, C, and D Preferred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investors of Series E Preferred Shares have a right to require the Company to redeem their investments, at any time and from time to time on or after the date of the earliest to occur of the following (i) the Company fails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4"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 a qualified IPO within seven years after the closing date; (ii) any material breach by any warrantor of any of their respective representations, warranties, covenants or undertakings under the transaction documents; (iii) any commission of, or participation in, fraudulent act or act of dishonesty by any founder against any company within the Group which has severely harm interests of the Series E shareholders; (iv) loss of control; (v) the termination of employment of Larry Lei Wu with any company within the Group; (vi) the occurrence of non-compliance with or violation of any applicable laws by any company within the Group which have a material adverse effect; (vii) the shareholders of Series A, B, C, and D Preferred Shares have become entitled to request, and have so requested, redemption of their Preferred Shares.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redemption price equals 100% of the Series E Preferred Shares issue price with an 6% compound per annum, plus any declared but unpaid dividends on such Preferred Shares.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Conversion Rights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option of the holders, each Preferred Share, all or any portion thereof, may be converted at any time prior to a qualified IPO after the original issue date into ordinary shares at an initial conversion ratio of 1:1. Further, without any action being required by the holder of such share and whether or not the certificates representing such share are surrendered to the Company or its transfer agent, the Preferred Share shall automatically be converted into ordinary shares upon (i) the closing of a qualified IPO, based on the then effective applicable conversion price or (ii) the date specified by written consent or agreement of the holders of seventy-five percent (75%) of the then outstanding Preferred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case the Company shall (a) pay a dividend or make a distribution on its ordinary shares in ordinary shares, (b) subdivide or reclassify its outstanding ordinary shares into a greater number of shares, or (c) combine or reclassify its outstanding ordinary shares into a smaller number of shares, the applicable conversion price in effect immediately prior to such event shall be adjusted so that the holder of the Preferred Shares thereafter converted shall be entitled to receive the number of ordinary shares of the Company which it would have owned or have been entitled to receive after the happening of such event had the Preferred Shares been converted immediately prior to the happening of such event. An adjustment shall become effective immediately after the record date in the case of a dividend or distribution and shall become effective on the effective date in the case of subdivision, combination or reclassification. If any dividend or distribution is not paid or made, the applicable conversion price then in effect shall be appropriately readjusted.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Preferred Shares may be effected, to the extent permitted by the statute, by any of the following methods: (i) a redesignation of the Preferred Shares being converted; (ii) a repurchase of such Preferred Shares and issue of the relevant number of ordinary shares; or (iii) in other manner as the board of directors may determine (including affirmative vote) and as permitted by the statute.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Voting Rights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Preferred Share has voting rights equivalent to the number of ordinary shares into which such Preferred Shares could be then convertible.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Dividend Rights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Holders of Preferred Shares are entitled to non-cumulative dividends per Preferred Share of 8% per annum when and if declared by the board of the Company, prior and in preference to holders of all other current or future class or series of shares of the Company, including the ordinary shares. After the preferential dividends have been paid in full or declared and set apart in any fiscal year of the Company, any additional dividends out of funds legally available therefor may be declared in that fiscal year for the ordinary shares and, if such additional dividends are declared, then such additional dividends shall be declared pro rata on the ordinary shares and all Preferred Shares on an as-converted basis.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Liquidation Preferences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liquidation, holders of the Preferred Shares shall be entitled to receive, prior and in preference to any distribution or payment shall be made to the holders of any ordinary shares, the liquidation preference amount per share is equal to one hundred percent (100%) of the original issue price on each Preferred Share (adjusted for any share splits, share dividends, combinations, recapitalizations and similar transactions), as the case may be, plus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5"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accrued and unpaid with respect thereto (as adjusted for any share splits, share dividends, combinations, recapitalizations and similar transactions) per Series A to E Preferred Shares, except the Series C, then held by such holder.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Liquidation preference is as follows in sequence: Series E Preferred Shares, Series D Preferred Shares, Series B Preferred Shares, Series A Preferred Shares. After distribution or payment of the subscription price in full, of the liquidation preference amount distributable or payable on the Series E Preferred Shares, Series D Preferred Shares, Series B Preferred Shares and Series A Preferred Shares, the remaining assets of the Company available for distribution to members shall be distributed ratably among the holders of outstanding ordinary shares and holders of outstanding Preferred Shares on an as-converted basis.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increases its share capital at a price lower than the price paid by the investors on a per share basis, the investors have a right to require the Company to issue new shares for nil consideration (or nominal consideration) to the investors, so that the total amount paid by the investors divided by the total amount of share capital obtained is equal to the price per share in the new issuance.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Drag-along Rights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Series A, B and C Preferred Shares, in the event that (i) at any time after the closing date, the Company receives an offer from any person, who has delivered a good faith written offer to purchase all or any portion of a shareholder’s shares, including without limitation, the beneficial ownership of any shareholder’s shares through the transfer of any of the underlying equity ownership of such shareholder, that if consummated, will result in a deemed liquidation event, and (ii) such offer is approved by the holders of at least seventy-five percent (75%) of the total issued and outstanding Preferred Shares, then the Company and each shareholder agree that: (i) the Company shall send written notice to all existing shareholders within five business days of receipt of the offer; and, (ii) the holders of ordinary shares shall sell and transfer, and shall procure all holders of ordinary/preferred shares to sell and transfer, their ordinary/preferred shares on terms and conditions set forth in the offer.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Series D and E Preferred Shares, in the event that (i) at any time after the closing date, the Company receives an offer from any person, who has delivered a good faith written offer to purchase all or any portion of a shareholder’s shares, including without limitation, the benefit ownership of any shareholder’s shares through the transfer of any of the underlying equity ownership of such shareholder, that if consummated, will result in a deemed liquidation event, and (ii) such offer is approved by the holders of at least seventy-five percent (75%) of the total issued and outstanding Preferred Shares and the holders of at least fifty-one percent (51%) of the total issued and outstanding ordinary shares, then the Company and each shareholder agree that: (i) the Company shall send written notice to all existing shareholders within five business days of receipt of the offer; and, (ii) the holders of ordinary shares shall sell and transfer, and shall procure all holders of ordinary/preferred shares to sell and transfer, their ordinary/preferred shares on terms and conditions set forth in the offer.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If the Drag-along rights are triggered on or prior to the fifth anniversary from the closing date, the Drag-along rights shall not apply unless such the sale results in aggregate proceeds of an agreed amount, of at least $40 million for the Series A, B and C Preferred Shares, or $150 million for the Series D and E Preferred Shares. The Drag-along rights shall terminate upon a qualified IPO. Given the Company has been listed in August 2022 (see Note 14 for details), the Drag-along rights were terminated accordingly.</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classified Series E Preferred Shares as mezzanine equity in the consolidated balance sheets, as they are contingently redeemable upon occurrence of certain events outside of the sole control of the Company. The Company recognized changes in the redemption value immediately as they occur and adjust the carrying value of the Series E Preferred Shares to equal the redemption value at the end of each reporting period, as if it were also the redemption date of the Preferred Shares. </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 xml:space="preserve">The Company classified Series A, B, C and D Preferred Shares as permanent equity according to temporary equity exception in </w:t>
      </w:r>
      <w:r>
        <w:rPr>
          <w:rFonts w:ascii="Times New Roman;sans-serif" w:hAnsi="Times New Roman;sans-serif"/>
          <w:b w:val="false"/>
          <w:i/>
          <w:color w:val="000000"/>
          <w:sz w:val="20"/>
        </w:rPr>
        <w:t>ASC 480-10-S99-3A(3f)</w:t>
      </w:r>
      <w:r>
        <w:rPr>
          <w:rFonts w:ascii="Times New Roman;sans-serif" w:hAnsi="Times New Roman;sans-serif"/>
          <w:b w:val="false"/>
          <w:color w:val="000000"/>
          <w:sz w:val="20"/>
        </w:rPr>
        <w:t xml:space="preserve">. Once a deemed liquidation event is triggered, all preferred shareholders are entitled to request the Company to liquidate with the liquidation proceeds being distributed among all shareholders based on the stipulated liquidation preference. The Company’s shareholders would receive the same form of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6"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of the Series E Preferred Shares for the years ended December 31, 2021 and 2022 consisted of the following. As disclosed in the Note 14, Series E Preferred Shares were converted to the Company’s Class A ordinary shares upon the completion of the Company’s IPO. </w:t>
      </w:r>
    </w:p>
    <w:tbl>
      <w:tblPr>
        <w:tblW w:w="4843" w:type="dxa"/>
        <w:jc w:val="center"/>
        <w:tblInd w:w="0" w:type="dxa"/>
        <w:tblLayout w:type="fixed"/>
        <w:tblCellMar>
          <w:top w:w="28" w:type="dxa"/>
          <w:left w:w="28" w:type="dxa"/>
          <w:bottom w:w="28" w:type="dxa"/>
          <w:right w:w="28" w:type="dxa"/>
        </w:tblCellMar>
      </w:tblPr>
      <w:tblGrid>
        <w:gridCol w:w="1160"/>
        <w:gridCol w:w="1022"/>
        <w:gridCol w:w="1027"/>
        <w:gridCol w:w="317"/>
        <w:gridCol w:w="1086"/>
        <w:gridCol w:w="231"/>
      </w:tblGrid>
      <w:tr>
        <w:trPr/>
        <w:tc>
          <w:tcPr>
            <w:tcW w:w="1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Series 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Preferred Shares </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2021</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25,152 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Preferred Shares</w:t>
            </w:r>
          </w:p>
        </w:tc>
        <w:tc>
          <w:tcPr>
            <w:tcW w:w="14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3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Preferred Shares</w:t>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to Class A ordinary shares</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(27,593)</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14. ORDINARY SHARES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11, 2021, the board of directors resolved to approve the exercise of 1,587,086 share options (See Note 13). The number of ordinary shares issued and outstanding was 11,082,930 as of December 31, 2021.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established Dongsi Tou Tiao Trust and Dongsi Er Tiao Trust, which are collectively referred to as the Equity Incentive Trusts, under their respective trust deeds dated in July 2021. Dongsi Tou Tiao Trust and Dongsi Er Tiao Trust controls and manages the British Virgin Islands incorporated entities, Dongsi Tou Tiao Limited and Dongsi Er Tiao Limited, respectively, which are collectively referred to as the Trust Holdcos. In February 2022, the Company issued 4,765,903 ordinary shares to the Trust Holdcos, for the purpose of issuing ordinary shares to the grantees upon the exercise of 210,898 restricted shares and 4,555,005 share options. The ordinary shares issued to the Trust Holdcos were accounted for as treasury shares of the Company upon issuance. The Trust Holdcos do not hold any other assets or liabilities as of December 31, 2023, nor earn any income nor incur any expenses for the year then ended. From the consummation of the IPO to December 31, 2022, 141,864 restricted shares were released from restriction for the satisfaction of vesting condition. During the year ended December 31, 2023, 58,489 restricted shares were released from restriction and 4,555,005 share options were exercised. The related par value with immaterial amount was deducted from treasury shares and transferred to additional paid-in capital.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issued 26,738 ordinary shares to the Group’s former chief financial officer at the consideration of $2 thousand. The former chief financial officer terminated his service in the Group in January 2022, the ordinary shares were granted as the compensation for his past service to the Group. The shares vested immediately upon grant. Fair value of these shares was determined using the income approach and equity allocation method on the issuance date. Share-based compensation expenses of nil, $199 thousand and nil were recorded in general and administrative expenses in the consolidated statement of comprehensive income for the year ended December 31, 2021, 2022, and 2023.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Company’s board of directors resolved to adopt a dual-class voting structure that will become effective immediately prior to the completion of its IPO. Holders of Class A ordinary shares and holders of Class B ordinary shares will have the same rights, except for voting and conversion rights. In respect of matters requiring a shareholder’s vote, each Class A ordinary share will be entitled to one vote and each Class B ordinary share will be entitled to ten votes. Upon completion of the IPO, the Class B ordinary Shares will be held only by Mr. Larry Lei Wu and his vehicles, namely Ji Xiang Hu Tong Holdings Limited and Talent Boom Group Limited. All other shareholders will hold only Class A ordinary shares. Each Class B ordinary share was stipulated to be convertible into one Class A ordinary share at any time, by the holder thereof. However, Class A ordinary shares were not entitled to be convertible into Class B ordinary shares at any time, under any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7"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completed its IPO on the Nasdaq Global Market, or Nasdaq, under the symbol “GCT”. Upon the completion of the IPO: </w:t>
      </w:r>
    </w:p>
    <w:p>
      <w:pPr>
        <w:pStyle w:val="TextBody"/>
        <w:bidi w:val="0"/>
        <w:spacing w:lineRule="auto" w:line="288" w:before="240" w:after="283"/>
        <w:ind w:left="0" w:right="0" w:hanging="6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dual-class voting structure has become effective. 1,571,043 Series B redeemable convertible preferred shares (“Preferred Shares”) which were beneficially owned by Mr. Larry Lei Wu, the founder, chairman of board of directors and chief executive officer of the Company were converted to Class B ordinary shares at a par value of $0.05 per share on a one-for-one-basis. 7,755,689 ordinary shares issued and held by Mr. Larry Lei Wu and his vehicles were redesignated as Class B ordinary shares. </w:t>
      </w:r>
    </w:p>
    <w:p>
      <w:pPr>
        <w:pStyle w:val="TextBody"/>
        <w:bidi w:val="0"/>
        <w:spacing w:lineRule="auto" w:line="288" w:before="240" w:after="283"/>
        <w:ind w:left="0" w:right="0" w:hanging="6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b.The Series B Preferred Shares held by investors other than Mr. Larry Lei Wu and all other series of Preferred Shares (including 3,999,709 Series E Preferred Shares which were recorded as mezzanine equity) with the aggregated 19,856,932 shares were converted to Class A ordinary shares at a par value of $0.05 per share on a one-for-one-basis. 8,119,882 ordinary shares issued and held by shareholders other than Mr. Larry Lei Wu and his vehicles were redesignated as Class A ordinary shares. </w:t>
      </w:r>
    </w:p>
    <w:p>
      <w:pPr>
        <w:pStyle w:val="TextBody"/>
        <w:bidi w:val="0"/>
        <w:spacing w:lineRule="auto" w:line="288" w:before="240" w:after="283"/>
        <w:ind w:left="0" w:right="0" w:hanging="6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c.The Company issued 3,381,000 Class A ordinary shares (including 441,000 Class A ordinary shares issued to the underwriter by exercising its over allotment option) at an issuance price of $12.25 per share for net proceeds of $33.4 million, after deducting underwriting commissions and other offering expenses in the aggregated amount of $8.0 million.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June 14, 2023, the Company’s board of directors resolved to approve a share repurchase program to repurchase up to $25.0 million of its Class A ordinary shares, par value at $0.05, from time to time over the next 12 months commencing that date. As of December 31, 2023, the Company had repurchased 215,201 Class A ordinary shares from open market transactions at the market price of $1,586 thousand in total. Direct and incremental cost incurred in relation to the repurchase were $8 thousand. The Company did not retire the shares repurchased; the shares were accounted for as treasury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15. SHARE-BASED COMPENSATION</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ordinary shares issued to the Group’s former chief financial officer in February 2022 as disclosed in the Note 14, the Group granted share-based awards to certain employees and non-employee service providers, of which, the details are specified as follows: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2017 Share Incentive Plan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March 27, 2017, the board of directors resolved to approve another share award scheme (the “2017 Share Incentive Plan” or the “2017 Plan”) to the Group’s eligible employees and non-employee service providers.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Share options</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On July 11, 2021, the Company’s board of directors resolved to approve the immediate exercise of 1,587,086 share options, which were granted under the 2017 Plan to certain directors and key employees on July 1, 2020 and July 1, 2021, respectively. These share options were originally exercisable upon a qualified IPO before expiration date of ten years</w:t>
      </w:r>
      <w:r>
        <w:rPr>
          <w:color w:val="000000"/>
          <w:shd w:fill="FFFFFF" w:val="clear"/>
        </w:rPr>
        <w:t xml:space="preserve"> </w:t>
      </w:r>
      <w:r>
        <w:rPr>
          <w:rFonts w:ascii="Times New Roman;sans-serif" w:hAnsi="Times New Roman;sans-serif"/>
          <w:b w:val="false"/>
          <w:color w:val="000000"/>
          <w:sz w:val="20"/>
          <w:shd w:fill="FFFFFF" w:val="clear"/>
        </w:rPr>
        <w:t xml:space="preserve">after grant dates with no vesting condition stipulated. The Group accounted for the modification as a not probable-to-probable modification. Such modification resulted in unrecognized share-based compensation expenses of $9,681 thousand as general and administrative expenses in the consolidated statement of comprehensive income for the year ended December 31, 2021. </w:t>
      </w:r>
    </w:p>
    <w:p>
      <w:pPr>
        <w:pStyle w:val="TextBody"/>
        <w:bidi w:val="0"/>
        <w:spacing w:lineRule="auto" w:line="288" w:before="240" w:after="283"/>
        <w:ind w:left="0" w:right="0" w:firstLine="1102"/>
        <w:jc w:val="left"/>
        <w:rPr/>
      </w:pPr>
      <w:r>
        <w:rPr>
          <w:rFonts w:ascii="Times New Roman;sans-serif" w:hAnsi="Times New Roman;sans-serif"/>
          <w:b w:val="false"/>
          <w:color w:val="000000"/>
          <w:sz w:val="20"/>
        </w:rPr>
        <w:t>In July 2021, the board of directors further resolved to grant 1,160,557 share options to the Group’s eligible employees under the 2017 Plan. No service condition was stipulated for the share options.</w:t>
      </w:r>
      <w:r>
        <w:rPr>
          <w:color w:val="000000"/>
        </w:rPr>
        <w:t xml:space="preser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modification of 1,587,086 awards made to certain directors and key employees in 2021, all outstanding share awards as of December 31, 2021 can only be exercised upon the consummation of a qualified IPO before expiration date of ten years after the date of the awards. The completion of a qualified IPO is considered a performance condition of the awards. A qualified IPO is not considered being probable by management before it is completed.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8"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ASC 718, compensation cost should be recognized if it is probable that the performance condition will be achieved. As a result, no compensation expense was recognized related to these shares awards.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board of directors resolved to grant 385,434 share options to its employees with no service condition stipulated. The completion of a qualified IPO is considered a performance condition of the share option awards, which is not considered being probable by management before it is completed.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consummation of the IPO in August 2022, the Group recognized share-based compensation expenses of $8,825 thousand for 4,529,383 share options upon the vest. Concurrently, the Group approved the modification to cancel the service condition of 26,678 share options, which were granted under the 2017 Plan to certain employees on July 1, 2020. The Group accounted for the modification as a probable-to-probable modification but did not record any incremental share-based compensation expense since the fair value of the modified awards immediately after the modification was not greater than the fair value of the original awards immediately before the modification. The Group recorded share-based compensation expenses of $62 thousand relating to the 26,678 share options with original grant date fair value in general and administrative expenses in the consolidated statement of comprehensive income after the modification. All share options have vested upon the consummation of the IPO.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completion of the IPO, the fair values of share options granted are estimated on the dates of grant using the binomial option pricing model with the following assumptions used:</w:t>
      </w:r>
    </w:p>
    <w:tbl>
      <w:tblPr>
        <w:tblW w:w="5931" w:type="dxa"/>
        <w:jc w:val="left"/>
        <w:tblInd w:w="0" w:type="dxa"/>
        <w:tblLayout w:type="fixed"/>
        <w:tblCellMar>
          <w:top w:w="28" w:type="dxa"/>
          <w:left w:w="28" w:type="dxa"/>
          <w:bottom w:w="28" w:type="dxa"/>
          <w:right w:w="28" w:type="dxa"/>
        </w:tblCellMar>
      </w:tblPr>
      <w:tblGrid>
        <w:gridCol w:w="1231"/>
        <w:gridCol w:w="1085"/>
        <w:gridCol w:w="1088"/>
        <w:gridCol w:w="109"/>
        <w:gridCol w:w="377"/>
        <w:gridCol w:w="377"/>
        <w:gridCol w:w="377"/>
        <w:gridCol w:w="377"/>
        <w:gridCol w:w="377"/>
        <w:gridCol w:w="37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Grant dates: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Risk-free rate of return</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44.17%</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43.60%</w:t>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Exercise multiple</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2.20/2.80</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2.20/2.80</w:t>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Fair value of underlying ordinary share</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Expected terms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volatility was estimated based on the historical volatility of comparable peer public companies with a time horizon close to the expected term of the Group’s options. The risk-free interest rate was estimated based on the yield to maturity of U.S. treasury bonds denominated in USD for a term consistent with the expected term of the Group’s options in effect at the option valuation date. Expected dividend yield is zero as the Group does not anticipate any dividend payments in the foreseeable future. The expected exercise multiple was estimated as the average ratio of the stock price to the exercise price of when employees would decide to voluntarily exercise their vested options. Expected term is the contract life of the option.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there were no new issuance activities pursuant to the 2017 Share Incentive Plan. All share options were exercised during the year ended December 31, 2023. The following table summarizes activities of share options for the years ended December 31, 2021, 2022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9"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0"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tbl>
      <w:tblPr>
        <w:tblW w:w="7372" w:type="dxa"/>
        <w:jc w:val="left"/>
        <w:tblInd w:w="0" w:type="dxa"/>
        <w:tblLayout w:type="fixed"/>
        <w:tblCellMar>
          <w:top w:w="28" w:type="dxa"/>
          <w:left w:w="28" w:type="dxa"/>
          <w:bottom w:w="28" w:type="dxa"/>
          <w:right w:w="28" w:type="dxa"/>
        </w:tblCellMar>
      </w:tblPr>
      <w:tblGrid>
        <w:gridCol w:w="1098"/>
        <w:gridCol w:w="965"/>
        <w:gridCol w:w="967"/>
        <w:gridCol w:w="524"/>
        <w:gridCol w:w="526"/>
        <w:gridCol w:w="313"/>
        <w:gridCol w:w="109"/>
        <w:gridCol w:w="109"/>
        <w:gridCol w:w="109"/>
        <w:gridCol w:w="269"/>
        <w:gridCol w:w="672"/>
        <w:gridCol w:w="139"/>
        <w:gridCol w:w="109"/>
        <w:gridCol w:w="109"/>
        <w:gridCol w:w="109"/>
        <w:gridCol w:w="295"/>
        <w:gridCol w:w="735"/>
        <w:gridCol w:w="215"/>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January 1, 2021</w:t>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4,597,156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0.05</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(1,587,086)</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4,170,627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0.05</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0.57</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385,434 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4,556,061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0.05</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1.15</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(4,556,061)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Exercisable at December 31, 2023</w:t>
            </w:r>
          </w:p>
        </w:tc>
        <w:tc>
          <w:tcPr>
            <w:tcW w:w="10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intrinsic value of options exercised was $9,602 thousand, nil and $5,239 thousand, for the years ended December 31, 2021, 2022 and 2023.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compensation expenses recognized are allocated to the following expense items. </w:t>
      </w:r>
    </w:p>
    <w:tbl>
      <w:tblPr>
        <w:tblW w:w="6417" w:type="dxa"/>
        <w:jc w:val="center"/>
        <w:tblInd w:w="0" w:type="dxa"/>
        <w:tblLayout w:type="fixed"/>
        <w:tblCellMar>
          <w:top w:w="28" w:type="dxa"/>
          <w:left w:w="28" w:type="dxa"/>
          <w:bottom w:w="28" w:type="dxa"/>
          <w:right w:w="28" w:type="dxa"/>
        </w:tblCellMar>
      </w:tblPr>
      <w:tblGrid>
        <w:gridCol w:w="1117"/>
        <w:gridCol w:w="984"/>
        <w:gridCol w:w="989"/>
        <w:gridCol w:w="211"/>
        <w:gridCol w:w="631"/>
        <w:gridCol w:w="109"/>
        <w:gridCol w:w="109"/>
        <w:gridCol w:w="109"/>
        <w:gridCol w:w="109"/>
        <w:gridCol w:w="211"/>
        <w:gridCol w:w="631"/>
        <w:gridCol w:w="109"/>
        <w:gridCol w:w="109"/>
        <w:gridCol w:w="109"/>
        <w:gridCol w:w="109"/>
        <w:gridCol w:w="211"/>
        <w:gridCol w:w="40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share compensation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8,887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Restricted shares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board of directors also resolved to grant 205,708 and 5,190 restricted shares to its employees and non-employee service providers, respectively. The grantees of the restricted shares shall pay in full of the consideration within 45 days at the exercise price of $7.48 per share after the grant date of such restricted shares; otherwise, the Company shall be entitled to cancel the grant. The grantees are subject to the service condition of three years’ continuous service since their service commencement in the Group; upon the grantee’s early service termination, the Company shall have the right (but not the obligation) to repurchase all or any portion of the shares in cash, at the amount of the original purchase price actually paid by the grantee for such restricted shares. The restricted shares will immediately be released from restrictions upon the satisfaction of both (1) completion of a qualified IPO, and (2) the completion of the grantees three years’ continuous service since their service commencement in the Group. When both criteria are achieved, the grantees are entitled to cliff and cumulatively vest the total grants.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141,864 and 58,489 restricted shares that were released from restriction (see Note 14) during the years ended December 31, 2022 and December 31, 2023 respectively, as grantees of such restricted shares satisfied the service condition of three years' continuous service since their service commencement in the Group, the Company recognized trivial amounts of share-based compensation expenses accordingly. The grant date fair value of the restricted shares is $0.0015 per share, which was estimated using the income approach and equity allocation method. Estimation of the fair value of the shares involves significant assumptions that might not be observable in the market, and a number of complex and subjective variables, discount rate, risk-free interest rate and subjective judgments regarding the Group’s projected financial and operating results, its unique business risks, the liquidity of its ordinary shares and its operating history and prospects at the time the grants are made. The fair value of these awards was determined by management with the assistance from a valuation report prepared by an independent valuation firm using management’s estimates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1"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board of directors further resolved to grant 10,000 restricted shares to one non-employee service provider. The exercise price of the restricted shares was stipulated as $0.05 per share, which is identical with par value of the Company’s ordinary shares. The restricted shares vested immediately after the grants with no further condition required. Given the award was directly attributable to the IPO consummated, the Company recorded the cost of $59 thousand against the gross proceeds of the offering.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restricted shares for the year ended December 31, 2022 is presented below: </w:t>
      </w:r>
    </w:p>
    <w:tbl>
      <w:tblPr>
        <w:tblW w:w="6581" w:type="dxa"/>
        <w:jc w:val="center"/>
        <w:tblInd w:w="0" w:type="dxa"/>
        <w:tblLayout w:type="fixed"/>
        <w:tblCellMar>
          <w:top w:w="28" w:type="dxa"/>
          <w:left w:w="28" w:type="dxa"/>
          <w:bottom w:w="28" w:type="dxa"/>
          <w:right w:w="28" w:type="dxa"/>
        </w:tblCellMar>
      </w:tblPr>
      <w:tblGrid>
        <w:gridCol w:w="1304"/>
        <w:gridCol w:w="1144"/>
        <w:gridCol w:w="1152"/>
        <w:gridCol w:w="479"/>
        <w:gridCol w:w="479"/>
        <w:gridCol w:w="481"/>
        <w:gridCol w:w="109"/>
        <w:gridCol w:w="109"/>
        <w:gridCol w:w="109"/>
        <w:gridCol w:w="233"/>
        <w:gridCol w:w="812"/>
        <w:gridCol w:w="170"/>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Number of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2022</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0.2690</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0.3906</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color w:val="000000"/>
                <w:sz w:val="20"/>
              </w:rPr>
            </w:pPr>
            <w:r>
              <w:rPr>
                <w:rFonts w:ascii="Times New Roman;sans-serif" w:hAnsi="Times New Roman;sans-serif"/>
                <w:b/>
                <w:color w:val="000000"/>
                <w:sz w:val="20"/>
              </w:rPr>
              <w:t>0.0015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Expect to be vested at December 31, 2022</w:t>
            </w:r>
          </w:p>
        </w:tc>
        <w:tc>
          <w:tcPr>
            <w:tcW w:w="143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0.0015</w:t>
            </w:r>
            <w:r>
              <w:rPr>
                <w:color w:val="000000"/>
              </w:rPr>
              <w:t> </w:t>
            </w:r>
          </w:p>
        </w:tc>
        <w:tc>
          <w:tcPr>
            <w:tcW w:w="1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restricted shares for the year ended December 31, 2023 is presented below: </w:t>
      </w:r>
    </w:p>
    <w:tbl>
      <w:tblPr>
        <w:tblW w:w="6581" w:type="dxa"/>
        <w:jc w:val="center"/>
        <w:tblInd w:w="0" w:type="dxa"/>
        <w:tblLayout w:type="fixed"/>
        <w:tblCellMar>
          <w:top w:w="28" w:type="dxa"/>
          <w:left w:w="28" w:type="dxa"/>
          <w:bottom w:w="28" w:type="dxa"/>
          <w:right w:w="28" w:type="dxa"/>
        </w:tblCellMar>
      </w:tblPr>
      <w:tblGrid>
        <w:gridCol w:w="1304"/>
        <w:gridCol w:w="1144"/>
        <w:gridCol w:w="1152"/>
        <w:gridCol w:w="479"/>
        <w:gridCol w:w="479"/>
        <w:gridCol w:w="481"/>
        <w:gridCol w:w="109"/>
        <w:gridCol w:w="109"/>
        <w:gridCol w:w="109"/>
        <w:gridCol w:w="233"/>
        <w:gridCol w:w="812"/>
        <w:gridCol w:w="170"/>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Number of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0.0015 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0.0015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color w:val="000000"/>
                <w:sz w:val="20"/>
              </w:rPr>
            </w:pPr>
            <w:r>
              <w:rPr>
                <w:rFonts w:ascii="Times New Roman;sans-serif" w:hAnsi="Times New Roman;sans-serif"/>
                <w:b/>
                <w:color w:val="000000"/>
                <w:sz w:val="20"/>
              </w:rPr>
              <w:t>0.0015</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Expect to be vested at December 31, 2023</w:t>
            </w:r>
          </w:p>
        </w:tc>
        <w:tc>
          <w:tcPr>
            <w:tcW w:w="143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0.0015</w:t>
            </w:r>
            <w:r>
              <w:rPr>
                <w:color w:val="000000"/>
              </w:rPr>
              <w:t> </w:t>
            </w:r>
          </w:p>
        </w:tc>
        <w:tc>
          <w:tcPr>
            <w:tcW w:w="1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unrecognized compensation expenses with trivial amount relating to the remaining 10,545 unvested restricted shares will cliff and cumulatively vest upon the satisfaction of the service condition.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share units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2023 and March 10, 2023, the Group respectively granted 1,748 and 33,422 restricted share units (the “RSUs”) to its two employees with no exercise price. All of these RSUs vested on the grant date with no service condition stipulated. Following the same term, the Group granted 10,000 RSUs and 10,112 RSUs employees on September 28, 2023 and December 1, 2023, respectively. All RSUs vested immediately upon grant.</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the Company granted 357,115 RSUs with no exercise price to employees with two types of vesting schedules of (1) vesting immediately after the grant or (2) vesting 50% immediately after the grant and cliff vesting the other 50% upon the satisfaction of one year service with the Group after the grant. Each of the RSUs granted is stipulated to vest following either of the two.</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Group's RSUs activities for the year ended December 31, 2023 is presented below:</w:t>
      </w:r>
    </w:p>
    <w:tbl>
      <w:tblPr>
        <w:tblW w:w="10205" w:type="dxa"/>
        <w:jc w:val="left"/>
        <w:tblInd w:w="0" w:type="dxa"/>
        <w:tblLayout w:type="fixed"/>
        <w:tblCellMar>
          <w:top w:w="28" w:type="dxa"/>
          <w:left w:w="28" w:type="dxa"/>
          <w:bottom w:w="28" w:type="dxa"/>
          <w:right w:w="28" w:type="dxa"/>
        </w:tblCellMar>
      </w:tblPr>
      <w:tblGrid>
        <w:gridCol w:w="637"/>
        <w:gridCol w:w="559"/>
        <w:gridCol w:w="561"/>
        <w:gridCol w:w="335"/>
        <w:gridCol w:w="335"/>
        <w:gridCol w:w="336"/>
        <w:gridCol w:w="109"/>
        <w:gridCol w:w="109"/>
        <w:gridCol w:w="109"/>
        <w:gridCol w:w="392"/>
        <w:gridCol w:w="816"/>
        <w:gridCol w:w="220"/>
        <w:gridCol w:w="109"/>
        <w:gridCol w:w="109"/>
        <w:gridCol w:w="109"/>
        <w:gridCol w:w="417"/>
        <w:gridCol w:w="1026"/>
        <w:gridCol w:w="234"/>
        <w:gridCol w:w="109"/>
        <w:gridCol w:w="109"/>
        <w:gridCol w:w="109"/>
        <w:gridCol w:w="565"/>
        <w:gridCol w:w="565"/>
        <w:gridCol w:w="566"/>
        <w:gridCol w:w="109"/>
        <w:gridCol w:w="109"/>
        <w:gridCol w:w="109"/>
        <w:gridCol w:w="281"/>
        <w:gridCol w:w="821"/>
        <w:gridCol w:w="231"/>
      </w:tblGrid>
      <w:tr>
        <w:trPr/>
        <w:tc>
          <w:tcPr>
            <w:tcW w:w="63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Weighted remaining contractual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Outstanding as of January 1, 2023</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Granted</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Outstanding as of December 31, 2023</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2,157</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Exercisable as of December 31, 2023</w:t>
            </w:r>
          </w:p>
        </w:tc>
        <w:tc>
          <w:tcPr>
            <w:tcW w:w="10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252,624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5.37</w:t>
            </w:r>
            <w:r>
              <w:rPr>
                <w:color w:val="000000"/>
              </w:rPr>
              <w:t> </w:t>
            </w:r>
          </w:p>
        </w:tc>
        <w:tc>
          <w:tcPr>
            <w:tcW w:w="2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1,358</w:t>
            </w:r>
            <w:r>
              <w:rPr>
                <w:color w:val="000000"/>
              </w:rPr>
              <w:t> </w:t>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110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2"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unrecognized compensation expenses of $267 thousand relating to the 159,773 unvested RSUs will be recognized in next twelve months.</w:t>
      </w:r>
    </w:p>
    <w:p>
      <w:pPr>
        <w:pStyle w:val="TextBody"/>
        <w:bidi w:val="0"/>
        <w:spacing w:before="120" w:after="283"/>
        <w:ind w:left="0" w:right="0" w:firstLine="1102"/>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expenses recognized in connection with RSUs are allocated to the following expense items. </w:t>
      </w:r>
    </w:p>
    <w:tbl>
      <w:tblPr>
        <w:tblW w:w="5904" w:type="dxa"/>
        <w:jc w:val="center"/>
        <w:tblInd w:w="0" w:type="dxa"/>
        <w:tblLayout w:type="fixed"/>
        <w:tblCellMar>
          <w:top w:w="28" w:type="dxa"/>
          <w:left w:w="28" w:type="dxa"/>
          <w:bottom w:w="28" w:type="dxa"/>
          <w:right w:w="28" w:type="dxa"/>
        </w:tblCellMar>
      </w:tblPr>
      <w:tblGrid>
        <w:gridCol w:w="1117"/>
        <w:gridCol w:w="984"/>
        <w:gridCol w:w="988"/>
        <w:gridCol w:w="203"/>
        <w:gridCol w:w="203"/>
        <w:gridCol w:w="176"/>
        <w:gridCol w:w="109"/>
        <w:gridCol w:w="109"/>
        <w:gridCol w:w="109"/>
        <w:gridCol w:w="203"/>
        <w:gridCol w:w="203"/>
        <w:gridCol w:w="176"/>
        <w:gridCol w:w="109"/>
        <w:gridCol w:w="109"/>
        <w:gridCol w:w="109"/>
        <w:gridCol w:w="211"/>
        <w:gridCol w:w="632"/>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Cost of revenues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share compensation expenses</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16. WARRANT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2022, the Group entered into an agreement with Aegis Capital Corp. (the “Underwriter”), pursuant to which, the Group agreed to issue warrants to the Underwriter upon the completion of its IPO as additional compensation for the Underwriter’s services, which entitles the Underwriter to purchase up to 1.0% of Class A ordinary shares sold in the IPO in the par value of $0.05 per share, at the exercise price of 150% of the public offering price of $12.25 per share.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issued warrants to the Underwriter at the closing of the offering on August 22, 2022, and the Underwriter is entitled to subscribe for, purchase and receive, in whole or in part, up to 29,400 Class A ordinary shares in the par value of $0.05 per share, at the exercise price of $18.375 per share, at any time beginning February 17, 2023, and at or before February 17, 2025.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are classified as equity under ASC 718. The Group initially recognized the warrants in the amount of $748 thousand in addition paid in capital based on the fair value of the warrants, which was determined using the binomial option pricing model on the issuance date. In addition, given the warrants were directly attributable to the IPO consummated, the Group recorded the cost incurred against the gross proceeds of the offering.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warrant upon the issuance during the year ended December 31, 2022 was estimated with the following assumptions used respectively: </w:t>
      </w:r>
    </w:p>
    <w:tbl>
      <w:tblPr>
        <w:tblW w:w="5594" w:type="dxa"/>
        <w:jc w:val="center"/>
        <w:tblInd w:w="0" w:type="dxa"/>
        <w:tblLayout w:type="fixed"/>
        <w:tblCellMar>
          <w:top w:w="28" w:type="dxa"/>
          <w:left w:w="28" w:type="dxa"/>
          <w:bottom w:w="28" w:type="dxa"/>
          <w:right w:w="28" w:type="dxa"/>
        </w:tblCellMar>
      </w:tblPr>
      <w:tblGrid>
        <w:gridCol w:w="1190"/>
        <w:gridCol w:w="1044"/>
        <w:gridCol w:w="1050"/>
        <w:gridCol w:w="675"/>
        <w:gridCol w:w="675"/>
        <w:gridCol w:w="960"/>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 of return</w:t>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3.14%</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46.68%</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center"/>
              <w:rPr>
                <w:color w:val="000000"/>
              </w:rPr>
            </w:pPr>
            <w:r>
              <w:rPr>
                <w:color w:val="000000"/>
              </w:rPr>
              <w:t>—</w:t>
            </w:r>
            <w:r>
              <w:rPr>
                <w:rFonts w:ascii="Times New Roman;sans-serif" w:hAnsi="Times New Roman;sans-serif"/>
                <w:b w:val="false"/>
                <w:color w:val="000000"/>
                <w:sz w:val="2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underlying ordinary share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$41.41</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terms</w:t>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volatility was estimated based on the historical volatility of comparable peer public companies with a time horizon close to the expected term of the warrant. The risk-free interest rate was estimated based on the yield to maturity of U.S. treasury bonds denominated in USD for a term consistent with the expected term of the warrant in effect at the valuation date. Expected dividend yield is zero as the Group does not anticipate any dividend payments in the foreseeable future. Expected term is the contract life of the warrant. There have been no new warrants issued or exercised since issuance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3"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17. INCOME TAX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Income tax </w:t>
      </w:r>
    </w:p>
    <w:p>
      <w:pPr>
        <w:pStyle w:val="TextBody"/>
        <w:bidi w:val="0"/>
        <w:spacing w:lineRule="auto" w:line="288" w:before="120" w:after="283"/>
        <w:ind w:left="0" w:right="0" w:firstLine="1102"/>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Cayman Islands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current laws of the Cayman Islands, the Company is not subject to tax on income or capital gain. Additionally, the Cayman Islands does not impose a withholding tax on payments of dividends to shareholders. </w:t>
      </w:r>
    </w:p>
    <w:p>
      <w:pPr>
        <w:pStyle w:val="TextBody"/>
        <w:bidi w:val="0"/>
        <w:spacing w:lineRule="auto" w:line="288" w:before="360" w:after="283"/>
        <w:ind w:left="0" w:right="0" w:firstLine="1102"/>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United States of America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subsidiaries are subject to U.S. federal income taxes and state and local income taxes. In connection with U.S. tax legislation enacted in December 2017, the federal income tax rate for corporations changed to 21% beginning from January 1, 2018, while state income tax rates generally remained the same as in previous years. The U.S. federal income tax rules also provide for enhanced accelerated depreciation deductions by allowing the election of full expensing of qualified property, primarily equipment, through 2022. In 2023, the enhanced accelerated depreciation deduction decreased to 80% and will continue to decrease by 20% per year thereafter until complete phase out.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received from U.S. corporation are U.S. source and would be subject to 30% withholding tax, unless reduced by a tax treaty or agreement. </w:t>
      </w:r>
    </w:p>
    <w:p>
      <w:pPr>
        <w:pStyle w:val="TextBody"/>
        <w:bidi w:val="0"/>
        <w:spacing w:lineRule="auto" w:line="288" w:before="360" w:after="283"/>
        <w:ind w:left="0" w:right="0" w:firstLine="1102"/>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Hong Kong S.A.R.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Under the current Hong Kong S.A.R. Inland Revenue Ordinance, the Company’s Hong Kong S.A.R. subsidiary is subject to Hong Kong S.A.R. profits tax at the rate of 16.5% on its taxable income generated from the operations in Hong Kong S.A.R. The first HK$2,000 thousand of assessable profits earned by a company will be taxed at 8.25% whilst the remaining profits will continue to be taxed at 16.5%. There is an anti-fragmentation measure where each group will have to nominate only one company in the group to benefit from the progressive rates.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Inland Revenue (Amendment) (Taxation on Specified Foreign-sourced income) Bill 2022 (“the new FSIE regime”) has been enacted in Hong Kong on December 14, 2022 and will have effect from January 1, 2023 onwards. This is to address the European Union’s inclusion of Hong Kong in the “grey list” in concern of any risk of double non-taxation arising from the tax exemption of offshore passive income for companies in Hong Kong without substantial economic substance. From January 1, 2023, offshore passive income (including interest income, dividend income or gain on disposal of equity interest (where applicable)), that is received or deemed to be received in Hong Kong (i.e., identical to the “received” concept in Singapore), would need to meet additional requirements, including, amongst others, the economic substance requirements (i.e. similar to offshore jurisdictions like Cayman Islands, British Virgin Islands, etc.) in order to continue to be entitled to the offshore income tax exemption in Hong Kong. </w:t>
      </w:r>
    </w:p>
    <w:p>
      <w:pPr>
        <w:pStyle w:val="TextBody"/>
        <w:bidi w:val="0"/>
        <w:spacing w:lineRule="auto" w:line="288" w:before="360" w:after="283"/>
        <w:ind w:left="0" w:right="0" w:firstLine="1102"/>
        <w:jc w:val="left"/>
        <w:rPr>
          <w:rFonts w:ascii="Times New Roman;sans-serif" w:hAnsi="Times New Roman;sans-serif"/>
          <w:b w:val="false"/>
          <w:i/>
          <w:color w:val="000000"/>
          <w:sz w:val="20"/>
        </w:rPr>
      </w:pPr>
      <w:r>
        <w:rPr>
          <w:rFonts w:ascii="Times New Roman;sans-serif" w:hAnsi="Times New Roman;sans-serif"/>
          <w:b w:val="false"/>
          <w:i/>
          <w:color w:val="000000"/>
          <w:sz w:val="20"/>
        </w:rPr>
        <w:t>The PRC</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Enterprise Income Tax Law (“EIT Law”) in the PRC, domestic companies are subject to EIT at a uniform rate of 25%. The Company’s PRC subsidiaries and VIEs are subject to the statutory income tax rate at 25%, unless a preferential EIT rate is otherwise stipulated.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24, 2019, the Company’s wholly-owned subsidiary, Gigacloud Suzhou, obtained a certificate from related authorities of local government for “Advanced Technology Service Enterprise (“ATSE”) qualification. This certificate entitled Gigacloud Suzhou to enjoy a preferential income tax rate of 15% for a period of three years from 2019 to 2021 if all the criteria for ATSE status could be satisfied in the relevant years. Subsequently, Gigacloud Suzhou renewed and obtained the ATSE certificate in early 2023, which entitles Gigacloud Suzhou to the preferential tax rate of 15% from 2022 to 2024 if all the criteria for ATSE status could be satisfied in the relevant year.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EIT Law and its implementation rules, an enterprise established outside China with a “place of effective management” within China is considered a China resident enterprise for Chinese enterprise income tax purposes. A China resident enterprise is generally subject to certain Chinese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4"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personnel, accounting, properties, etc., occurs within the PRC. Despite the present uncertainties resulting from the limited PRC tax guidance on the issue, the Company does not believe that the legal entities organized outside the PRC should be treated as residents for EIT Law purposes. If the PRC tax authorities subsequently determine that the Company and its subsidiaries registered outside the PRC are deemed resident enterprises, the Company and its subsidiaries registered outside the PRC will be subject to the PRC income tax at a rate of 25%.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paid to non-PRC-resident corporate investor from profits earned by the PRC subsidiaries after January 1, 2008 would be subject to a withholding tax. The EIT Law and its relevant regulations impose a withholding tax at 10%, unless reduced by a tax treaty or agreement, for dividends distributed by a PRC-resident enterprise to its non-PRC-resident corporate investor for earnings generated beginning on January 1, 2008. As at December 31, 2021, 2022 and 2023, earnings from all foreign subsidiaries and VIEs will be indefinitely reinvested. Hence, the Group has not provided for deferred tax liabilities on undistributed earnings for PRC subsidiaries. </w:t>
      </w:r>
    </w:p>
    <w:p>
      <w:pPr>
        <w:pStyle w:val="TextBody"/>
        <w:bidi w:val="0"/>
        <w:spacing w:lineRule="auto" w:line="288" w:before="360" w:after="283"/>
        <w:ind w:left="0" w:right="0" w:firstLine="1102"/>
        <w:jc w:val="left"/>
        <w:rPr>
          <w:rFonts w:ascii="Times New Roman;sans-serif" w:hAnsi="Times New Roman;sans-serif"/>
          <w:b w:val="false"/>
          <w:i/>
          <w:color w:val="000000"/>
          <w:sz w:val="20"/>
        </w:rPr>
      </w:pPr>
      <w:r>
        <w:rPr>
          <w:rFonts w:ascii="Times New Roman;sans-serif" w:hAnsi="Times New Roman;sans-serif"/>
          <w:b w:val="false"/>
          <w:i/>
          <w:color w:val="000000"/>
          <w:sz w:val="20"/>
        </w:rPr>
        <w:t>Germany</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current laws of Germany, the Company’s German subsidiaries are subject to income tax at a standard rate of 15% (15.825% including solidarity surcharge), plus municipal trade tax of 14%-17%.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before income taxes are as follows:</w:t>
      </w:r>
    </w:p>
    <w:tbl>
      <w:tblPr>
        <w:tblW w:w="7286" w:type="dxa"/>
        <w:jc w:val="center"/>
        <w:tblInd w:w="0" w:type="dxa"/>
        <w:tblLayout w:type="fixed"/>
        <w:tblCellMar>
          <w:top w:w="28" w:type="dxa"/>
          <w:left w:w="28" w:type="dxa"/>
          <w:bottom w:w="28" w:type="dxa"/>
          <w:right w:w="28" w:type="dxa"/>
        </w:tblCellMar>
      </w:tblPr>
      <w:tblGrid>
        <w:gridCol w:w="1198"/>
        <w:gridCol w:w="1056"/>
        <w:gridCol w:w="1060"/>
        <w:gridCol w:w="211"/>
        <w:gridCol w:w="736"/>
        <w:gridCol w:w="109"/>
        <w:gridCol w:w="109"/>
        <w:gridCol w:w="109"/>
        <w:gridCol w:w="109"/>
        <w:gridCol w:w="211"/>
        <w:gridCol w:w="736"/>
        <w:gridCol w:w="109"/>
        <w:gridCol w:w="109"/>
        <w:gridCol w:w="109"/>
        <w:gridCol w:w="109"/>
        <w:gridCol w:w="211"/>
        <w:gridCol w:w="841"/>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S.A.R.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PRC, excluding Hong Kong S.A.R.</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14,439</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37,725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31,164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114,995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2022 and 2023, the details of income tax expense are set forth below: </w:t>
      </w:r>
    </w:p>
    <w:tbl>
      <w:tblPr>
        <w:tblW w:w="7271" w:type="dxa"/>
        <w:jc w:val="center"/>
        <w:tblInd w:w="0" w:type="dxa"/>
        <w:tblLayout w:type="fixed"/>
        <w:tblCellMar>
          <w:top w:w="28" w:type="dxa"/>
          <w:left w:w="28" w:type="dxa"/>
          <w:bottom w:w="28" w:type="dxa"/>
          <w:right w:w="28" w:type="dxa"/>
        </w:tblCellMar>
      </w:tblPr>
      <w:tblGrid>
        <w:gridCol w:w="1307"/>
        <w:gridCol w:w="1150"/>
        <w:gridCol w:w="1157"/>
        <w:gridCol w:w="211"/>
        <w:gridCol w:w="631"/>
        <w:gridCol w:w="109"/>
        <w:gridCol w:w="109"/>
        <w:gridCol w:w="109"/>
        <w:gridCol w:w="109"/>
        <w:gridCol w:w="211"/>
        <w:gridCol w:w="631"/>
        <w:gridCol w:w="109"/>
        <w:gridCol w:w="109"/>
        <w:gridCol w:w="109"/>
        <w:gridCol w:w="109"/>
        <w:gridCol w:w="211"/>
        <w:gridCol w:w="73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The U.S.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The PRC, excluding Hong Kong S.A.R.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Germany</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3,941</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Others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tax expense</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8,337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20,489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The U.S.</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The PRC, excluding Hong Kong S.A.R.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deferred tax expense </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5"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prepared the income tax rate reconciliation using the income tax rate of PRC where the Group’s major operation domiciles.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income tax expense reported in the consolidated statements of comprehensive income for each of the years ended December 31, 2021, 2022 and 2023 differs from the amount computed by applying the PRC income tax rate of 25% to profit before income taxes due to the following: </w:t>
      </w:r>
    </w:p>
    <w:tbl>
      <w:tblPr>
        <w:tblW w:w="9327" w:type="dxa"/>
        <w:jc w:val="center"/>
        <w:tblInd w:w="0" w:type="dxa"/>
        <w:tblLayout w:type="fixed"/>
        <w:tblCellMar>
          <w:top w:w="28" w:type="dxa"/>
          <w:left w:w="28" w:type="dxa"/>
          <w:bottom w:w="28" w:type="dxa"/>
          <w:right w:w="28" w:type="dxa"/>
        </w:tblCellMar>
      </w:tblPr>
      <w:tblGrid>
        <w:gridCol w:w="2053"/>
        <w:gridCol w:w="1805"/>
        <w:gridCol w:w="1812"/>
        <w:gridCol w:w="211"/>
        <w:gridCol w:w="631"/>
        <w:gridCol w:w="109"/>
        <w:gridCol w:w="109"/>
        <w:gridCol w:w="109"/>
        <w:gridCol w:w="109"/>
        <w:gridCol w:w="211"/>
        <w:gridCol w:w="631"/>
        <w:gridCol w:w="109"/>
        <w:gridCol w:w="109"/>
        <w:gridCol w:w="109"/>
        <w:gridCol w:w="109"/>
        <w:gridCol w:w="211"/>
        <w:gridCol w:w="736"/>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Computed expected income tax expenses at the PRC tax rate of 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rate differential for non-PRC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Preferential tax 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 expired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tax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offshore profit in Hong Kong S.A.R*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tax adjustment in the PRC**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 on deferred tax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basis that the operations of GigaCloud Technology (HongKong) Limited (“Giga HK”) that gave rise to the profits derived by Giga HK were entirely undertaken outside of Hong Kong S.A.R, the corresponding profits are treated as offshore sourced and not subject to Hong Kong S.A.R. profits tax. </w:t>
      </w:r>
    </w:p>
    <w:p>
      <w:pPr>
        <w:pStyle w:val="TextBody"/>
        <w:bidi w:val="0"/>
        <w:spacing w:lineRule="auto" w:line="288" w:before="120" w:after="283"/>
        <w:ind w:left="0" w:right="0" w:hanging="540"/>
        <w:jc w:val="left"/>
        <w:rPr/>
      </w:pPr>
      <w:r>
        <w:rPr>
          <w:rFonts w:ascii="Arial;sans-serif" w:hAnsi="Arial;sans-serif"/>
          <w:b w:val="false"/>
          <w:color w:val="000000"/>
          <w:sz w:val="20"/>
        </w:rPr>
        <w:t>**</w:t>
      </w:r>
      <w:r>
        <w:rPr>
          <w:rFonts w:ascii="Times New Roman;sans-serif" w:hAnsi="Times New Roman;sans-serif"/>
          <w:b w:val="false"/>
          <w:color w:val="000000"/>
          <w:sz w:val="20"/>
        </w:rPr>
        <w:t xml:space="preserve">As the profits derived by Giga HK were attributed to the PRC, Gigacloud Suzhou recognized Giga HK offshore sourced profits as taxable income of Gigacloud Suzhou.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6"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 Deferred tax assets and deferred tax liabilities</w:t>
      </w:r>
    </w:p>
    <w:tbl>
      <w:tblPr>
        <w:tblW w:w="7764" w:type="dxa"/>
        <w:jc w:val="center"/>
        <w:tblInd w:w="0" w:type="dxa"/>
        <w:tblLayout w:type="fixed"/>
        <w:tblCellMar>
          <w:top w:w="28" w:type="dxa"/>
          <w:left w:w="28" w:type="dxa"/>
          <w:bottom w:w="28" w:type="dxa"/>
          <w:right w:w="28" w:type="dxa"/>
        </w:tblCellMar>
      </w:tblPr>
      <w:tblGrid>
        <w:gridCol w:w="1970"/>
        <w:gridCol w:w="1733"/>
        <w:gridCol w:w="1742"/>
        <w:gridCol w:w="211"/>
        <w:gridCol w:w="616"/>
        <w:gridCol w:w="109"/>
        <w:gridCol w:w="109"/>
        <w:gridCol w:w="109"/>
        <w:gridCol w:w="109"/>
        <w:gridCol w:w="211"/>
        <w:gridCol w:w="691"/>
        <w:gridCol w:w="154"/>
      </w:tblGrid>
      <w:tr>
        <w:trPr/>
        <w:tc>
          <w:tcPr>
            <w:tcW w:w="197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under the uniform capitalization (UNICAP) rules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and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deferred tax assets, net</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35,375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64,981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 of full expensing of qualified property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(60,819)</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gross deferred income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(35,772)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(67,336)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(2,355)</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deferred taxes noted above are classified as follows in the Group’s consolidated balance sheets:</w:t>
      </w:r>
    </w:p>
    <w:tbl>
      <w:tblPr>
        <w:tblW w:w="4253" w:type="dxa"/>
        <w:jc w:val="center"/>
        <w:tblInd w:w="0" w:type="dxa"/>
        <w:tblLayout w:type="fixed"/>
        <w:tblCellMar>
          <w:top w:w="28" w:type="dxa"/>
          <w:left w:w="28" w:type="dxa"/>
          <w:bottom w:w="28" w:type="dxa"/>
          <w:right w:w="28" w:type="dxa"/>
        </w:tblCellMar>
      </w:tblPr>
      <w:tblGrid>
        <w:gridCol w:w="728"/>
        <w:gridCol w:w="639"/>
        <w:gridCol w:w="642"/>
        <w:gridCol w:w="211"/>
        <w:gridCol w:w="541"/>
        <w:gridCol w:w="109"/>
        <w:gridCol w:w="109"/>
        <w:gridCol w:w="109"/>
        <w:gridCol w:w="109"/>
        <w:gridCol w:w="211"/>
        <w:gridCol w:w="69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 are as follows:</w:t>
      </w:r>
    </w:p>
    <w:tbl>
      <w:tblPr>
        <w:tblW w:w="5333" w:type="dxa"/>
        <w:jc w:val="center"/>
        <w:tblInd w:w="0" w:type="dxa"/>
        <w:tblLayout w:type="fixed"/>
        <w:tblCellMar>
          <w:top w:w="28" w:type="dxa"/>
          <w:left w:w="28" w:type="dxa"/>
          <w:bottom w:w="28" w:type="dxa"/>
          <w:right w:w="28" w:type="dxa"/>
        </w:tblCellMar>
      </w:tblPr>
      <w:tblGrid>
        <w:gridCol w:w="1108"/>
        <w:gridCol w:w="974"/>
        <w:gridCol w:w="977"/>
        <w:gridCol w:w="211"/>
        <w:gridCol w:w="631"/>
        <w:gridCol w:w="109"/>
        <w:gridCol w:w="109"/>
        <w:gridCol w:w="109"/>
        <w:gridCol w:w="109"/>
        <w:gridCol w:w="211"/>
        <w:gridCol w:w="63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the end of the year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2,821</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Unremitted Earnings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2022 and 2023, the Group has not respectively recorded approximately $4,224 thousand, $5,933 thousand and $12,545 thousand, of deferred tax liabilities associated with remaining unremitted foreign earnings considered indefinitely reinvested, for which foreign income and withholding taxes would be due upon repatriation.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7"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Operating Losses and Valuation Allowances</w:t>
      </w:r>
    </w:p>
    <w:p>
      <w:pPr>
        <w:pStyle w:val="TextBody"/>
        <w:bidi w:val="0"/>
        <w:spacing w:lineRule="auto" w:line="288" w:before="0" w:after="0"/>
        <w:ind w:left="0" w:right="0" w:firstLine="1102"/>
        <w:jc w:val="left"/>
        <w:rPr/>
      </w:pPr>
      <w:r>
        <w:rPr>
          <w:rFonts w:ascii="Times New Roman;sans-serif" w:hAnsi="Times New Roman;sans-serif"/>
          <w:b w:val="false"/>
          <w:color w:val="000000"/>
          <w:sz w:val="20"/>
        </w:rPr>
        <w:t>Net operating losses carryforwards of the Company’s subsidiaries and VIEs in jurisdictions other than the PRC do not expire. The net operating losses carryforwards of the Company’s PRC subsidiaries and VIE amounted to $356 thousand,$595 thousand and $531 thousand as of December 31, 2021, 2022 and 2023. $25 thousand, $16 thousand, $116 thousand, $354 thousand and $20 thousand will expire if unused by December 31, 2024, 2025, 2026, 2027 and 2028, respectively. As of December 31, 2023, the net operating loss carryforwards of the Group’s subsidiary incorporated in the United Kingdom amounted to $8,336 thousand, do not expire. As of December 31, 2023, the net operating loss carryforwards of the Company’s subsidiaries incorporated in the US amounted to $2,976 thousand, $709 thousand of which will expire if unused on December 31, 2037; the remainder does not expire. As of December 31, 2023, the net operating loss carryforwards of the Group’s subsidiary incorporated in the Canada amounted to $526 thousand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all of which will expire if unused on December 31, 2033. As of December 31, 2023, the net operating loss carryforwards of the Group’s subsidiary incorporated in the Hong Kong amounted to $334 thousand and do not expire.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recoverability of these future tax deductions is evaluated by assessing the adequacy of future expected taxable income from all sources, including taxable income in prior carryback years, reversal of taxable temporary differences, forecasted operating earnings and available tax planning strategies. To the extent the Group does not consider it more-likely-than-not that a deferred tax asset will be recovered, a valuation allowance is generally established. To the extent that a valuation allowance was established, it is subsequently determined that it is more-likely-than-not that the deferred tax assets will be recovered, the change in the valuation allowance is recognized in the consolidated statements of comprehensive income.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2021, 2022 and 2023, the valuation allowances of $1,204 thousand, $2,786 thousand and $2,821 thousand were related to the deferred income tax assets of the certain subsidiaries and VIEs of the Company which were in loss position. These entities were in a cumulative loss position, which is a significant negative indicator to overcome that sufficient income will be generated over the periods in which the deferred income tax assets are deductible or utilized. The ultimate realization of deferred income tax assets is dependent upon the generation of future taxable income during the periods in which those temporary differences become deductible or utilized. Management considers the scheduled reversal of deferred income tax liabilities, projected future taxable income and tax planning strategies in making this assessment.</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Uncertain Tax Positions</w:t>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benefits of uncertain tax positions are recorded in the Company’s consolidated financial statements only after determining a more-likely-than-not probability that the uncertain tax positions will sustain, if examined by taxing authorities. A recognized tax position is measured at the largest amount of benefit that is greater than 50% likely of being realized upon settlement.</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2022 and 2023, the amounts of unrecognized tax benefits were $1,033 thousand, $2,894 thousand and $3,302 thousand, respectively, which would affect the Group’s effective income tax rate.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unrecognized tax benefits is as follows: </w:t>
      </w:r>
    </w:p>
    <w:tbl>
      <w:tblPr>
        <w:tblW w:w="7557" w:type="dxa"/>
        <w:jc w:val="center"/>
        <w:tblInd w:w="0" w:type="dxa"/>
        <w:tblLayout w:type="fixed"/>
        <w:tblCellMar>
          <w:top w:w="28" w:type="dxa"/>
          <w:left w:w="28" w:type="dxa"/>
          <w:bottom w:w="28" w:type="dxa"/>
          <w:right w:w="28" w:type="dxa"/>
        </w:tblCellMar>
      </w:tblPr>
      <w:tblGrid>
        <w:gridCol w:w="1452"/>
        <w:gridCol w:w="1275"/>
        <w:gridCol w:w="1278"/>
        <w:gridCol w:w="211"/>
        <w:gridCol w:w="631"/>
        <w:gridCol w:w="109"/>
        <w:gridCol w:w="109"/>
        <w:gridCol w:w="109"/>
        <w:gridCol w:w="109"/>
        <w:gridCol w:w="211"/>
        <w:gridCol w:w="631"/>
        <w:gridCol w:w="109"/>
        <w:gridCol w:w="109"/>
        <w:gridCol w:w="109"/>
        <w:gridCol w:w="109"/>
        <w:gridCol w:w="211"/>
        <w:gridCol w:w="63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tax benefits,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prior-year income tax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tax benefits,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3,302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classifies interest and penalties related to uncertain tax benefits as income tax expense.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uncertainties under the tax law, positions taken on tax returns may be challenged and ultimately disallowed by taxing authorities. Accordingly, it may not be appropriate to reflect a position taken on the tax return when the outcome of that tax position is uncertain. For the years ended December 31, 2021, 2022 and 2023, the Group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8"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$232 thousand, $1,861 thousand and $408 thousand, respectively, which are related to uncertainty of the Company’s subsidiaries and consolidated VIEs in the PRC and the U.S. mainly with regards to the tax impact of transfer pricing adjustment. The unrecognized tax benefits balances, if recognized upon audit settlement or statute expiration, would affect the effective tax rate. The Group is currently unable to provide an estimate of a range of total amount of unrecognized tax benefits that is reasonably possible to change significantly within the next twelve months.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 In the case of transfer pricing issues, the statute of limitation is 10 years. There is no statute of limitation in the case of tax evasion. The income tax returns of the Company’s PRC subsidiary and the VIEs for the years from 2018 to 2023 are open to examination by the PRC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18. NET INCOME PER ORDINARY SHARE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basic and diluted net income per ordinary share computation and provides a reconciliation of the numerator and denominator for the years presented: </w:t>
      </w:r>
    </w:p>
    <w:tbl>
      <w:tblPr>
        <w:tblW w:w="9746" w:type="dxa"/>
        <w:jc w:val="center"/>
        <w:tblInd w:w="0" w:type="dxa"/>
        <w:tblLayout w:type="fixed"/>
        <w:tblCellMar>
          <w:top w:w="28" w:type="dxa"/>
          <w:left w:w="28" w:type="dxa"/>
          <w:bottom w:w="28" w:type="dxa"/>
          <w:right w:w="28" w:type="dxa"/>
        </w:tblCellMar>
      </w:tblPr>
      <w:tblGrid>
        <w:gridCol w:w="2145"/>
        <w:gridCol w:w="1879"/>
        <w:gridCol w:w="1900"/>
        <w:gridCol w:w="211"/>
        <w:gridCol w:w="721"/>
        <w:gridCol w:w="109"/>
        <w:gridCol w:w="109"/>
        <w:gridCol w:w="109"/>
        <w:gridCol w:w="109"/>
        <w:gridCol w:w="211"/>
        <w:gridCol w:w="721"/>
        <w:gridCol w:w="109"/>
        <w:gridCol w:w="109"/>
        <w:gridCol w:w="109"/>
        <w:gridCol w:w="109"/>
        <w:gridCol w:w="211"/>
        <w:gridCol w:w="721"/>
        <w:gridCol w:w="154"/>
      </w:tblGrid>
      <w:tr>
        <w:trPr/>
        <w:tc>
          <w:tcPr>
            <w:tcW w:w="214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94,108 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preferred shareholders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E Preferred Shares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ordinary share calculation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ordinary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Basic</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40,788,448</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Diluted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40,922,590</w:t>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ordinary share attributable to ordinary shareholders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Diluted</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Prior to the completion of IPO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ordinary shares issued and outstanding, including 4,765,903 ordinary shares that the Company issued to the Trust Holdcos for the purpose of issuing shares to grantees upon their exercise of share-based awards (disclosed in the Note 15), are included in determining weighted average number of ordinary shares and the calculation of basic net income per ordinary share, as they are entitled to dividend right as ordinary shareholders.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and for the period from January 1, 2022 to August 17, 2022, all outstanding share-based awards are not included in the calculation of basic or diluted net income per ordinary share, as the issuance of such awards is contingent upon a qualified IPO within expiration period, which was not satisfied as of respective period ends. During the year ended December 31, 2021 and for the period from January 1, 2022 to August 17, 2022, the Preferred Shares were excluded from the calculation of diluted earnings per ordinary share as their inclusion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69"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After IPO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IPO was consummated on August 17, 2022, the issued and outstanding 21,427,975 Series A, B, C, D and E Preferred Shares were converted into the Company’s ordinary shares at a par value of $0.05 per share on a one-for-one-basis (disclosed in the Note 14). Since then, the shares were included in the calculation of basic net income per ordinary share on a weighted average basis. In addition, the restricted shares granted to the non-employee service provider, which vested on November 18, 2022 immediately after the grants (disclosed in the Note 15) were included in the calculation of basic earnings per share on a weighted average basis.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period after the IPO to December 31, 2023, the 29,400 Class A ordinary shares to be issued to the Underwriter upon the exercise of the warrant (disclosed in the Note 16) are not included in the calculation of dilutive net income per ordinary share under the treasury stock method, as their exercise prices are higher than the fair market value of the Company’s ordinary shares as at December 31, 2023, representing out-of-the-money impact from the holder’s perspective.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dilutive securities that have been included in the calculation of diluted net income per ordinary share are presented as follow:</w:t>
      </w:r>
    </w:p>
    <w:p>
      <w:pPr>
        <w:pStyle w:val="TextBody"/>
        <w:bidi w:val="0"/>
        <w:spacing w:before="0" w:after="0"/>
        <w:ind w:left="0" w:right="0" w:firstLine="1102"/>
        <w:jc w:val="left"/>
        <w:rPr/>
      </w:pPr>
      <w:r>
        <w:rPr/>
      </w:r>
    </w:p>
    <w:tbl>
      <w:tblPr>
        <w:tblW w:w="3617" w:type="dxa"/>
        <w:jc w:val="left"/>
        <w:tblInd w:w="0" w:type="dxa"/>
        <w:tblLayout w:type="fixed"/>
        <w:tblCellMar>
          <w:top w:w="28" w:type="dxa"/>
          <w:left w:w="28" w:type="dxa"/>
          <w:bottom w:w="28" w:type="dxa"/>
          <w:right w:w="28" w:type="dxa"/>
        </w:tblCellMar>
      </w:tblPr>
      <w:tblGrid>
        <w:gridCol w:w="179"/>
        <w:gridCol w:w="158"/>
        <w:gridCol w:w="159"/>
        <w:gridCol w:w="203"/>
        <w:gridCol w:w="203"/>
        <w:gridCol w:w="176"/>
        <w:gridCol w:w="149"/>
        <w:gridCol w:w="149"/>
        <w:gridCol w:w="149"/>
        <w:gridCol w:w="203"/>
        <w:gridCol w:w="203"/>
        <w:gridCol w:w="176"/>
        <w:gridCol w:w="149"/>
        <w:gridCol w:w="149"/>
        <w:gridCol w:w="149"/>
        <w:gridCol w:w="413"/>
        <w:gridCol w:w="413"/>
        <w:gridCol w:w="23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103,879 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0"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19. REVENUES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 Group’s revenues are disaggregated by major products/service lines and timing of revenue recognition. Detailed information is specified as follows:</w:t>
      </w:r>
    </w:p>
    <w:tbl>
      <w:tblPr>
        <w:tblW w:w="10205" w:type="dxa"/>
        <w:jc w:val="center"/>
        <w:tblInd w:w="0" w:type="dxa"/>
        <w:tblLayout w:type="fixed"/>
        <w:tblCellMar>
          <w:top w:w="28" w:type="dxa"/>
          <w:left w:w="28" w:type="dxa"/>
          <w:bottom w:w="28" w:type="dxa"/>
          <w:right w:w="28" w:type="dxa"/>
        </w:tblCellMar>
      </w:tblPr>
      <w:tblGrid>
        <w:gridCol w:w="2183"/>
        <w:gridCol w:w="1912"/>
        <w:gridCol w:w="1926"/>
        <w:gridCol w:w="211"/>
        <w:gridCol w:w="841"/>
        <w:gridCol w:w="109"/>
        <w:gridCol w:w="109"/>
        <w:gridCol w:w="109"/>
        <w:gridCol w:w="109"/>
        <w:gridCol w:w="211"/>
        <w:gridCol w:w="841"/>
        <w:gridCol w:w="109"/>
        <w:gridCol w:w="109"/>
        <w:gridCol w:w="109"/>
        <w:gridCol w:w="109"/>
        <w:gridCol w:w="211"/>
        <w:gridCol w:w="841"/>
        <w:gridCol w:w="156"/>
      </w:tblGrid>
      <w:tr>
        <w:trPr/>
        <w:tc>
          <w:tcPr>
            <w:tcW w:w="218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Major products/services lines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 revenues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commission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transportation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Warehousing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Last-mile delivery service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service</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service revenues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98,332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140,628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199,184</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Product revenues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 to B</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50,699 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49,128 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86,578 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 to 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118,044 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Off-platform ecommerce</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GigaCloud 1P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product revenues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315,865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349,443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504,647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Timing of revenue recognition</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goods or services transferred to customers over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goods or services transferred to customers at a point in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490,071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703,831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120" w:after="283"/>
        <w:ind w:left="0" w:right="0" w:firstLine="110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1"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w10:wrap type="none"/>
              </v:rect>
            </w:pict>
          </mc:Fallback>
        </mc:AlternateContent>
      </w:r>
    </w:p>
    <w:p>
      <w:pPr>
        <w:pStyle w:val="TextBody"/>
        <w:bidi w:val="0"/>
        <w:spacing w:lineRule="auto" w:line="288" w:before="0" w:after="0"/>
        <w:jc w:val="left"/>
        <w:rPr/>
      </w:pPr>
      <w:hyperlink w:anchor="i7d9e1b40a3474abdb3b40585aed3562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GigaCloud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Contract Liabilities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2023, the amounts of contract liabilities are $2,001 thousand and $5,537 thousand, respectively. Changes in the contract liabilities balances for the years ended December 31, 2021, 2022 and 2023 are as follows: </w:t>
      </w:r>
    </w:p>
    <w:tbl>
      <w:tblPr>
        <w:tblW w:w="9065" w:type="dxa"/>
        <w:jc w:val="center"/>
        <w:tblInd w:w="0" w:type="dxa"/>
        <w:tblLayout w:type="fixed"/>
        <w:tblCellMar>
          <w:top w:w="28" w:type="dxa"/>
          <w:left w:w="28" w:type="dxa"/>
          <w:bottom w:w="28" w:type="dxa"/>
          <w:right w:w="28" w:type="dxa"/>
        </w:tblCellMar>
      </w:tblPr>
      <w:tblGrid>
        <w:gridCol w:w="1934"/>
        <w:gridCol w:w="1700"/>
        <w:gridCol w:w="1705"/>
        <w:gridCol w:w="225"/>
        <w:gridCol w:w="675"/>
        <w:gridCol w:w="109"/>
        <w:gridCol w:w="109"/>
        <w:gridCol w:w="109"/>
        <w:gridCol w:w="109"/>
        <w:gridCol w:w="225"/>
        <w:gridCol w:w="675"/>
        <w:gridCol w:w="109"/>
        <w:gridCol w:w="109"/>
        <w:gridCol w:w="109"/>
        <w:gridCol w:w="109"/>
        <w:gridCol w:w="225"/>
        <w:gridCol w:w="675"/>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the year</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opening balance of contract liabilities</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cash received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the acquisition</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cash received during the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effect</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end of the year</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5,537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relate to considerations received in advance for merchandise sales and services provided on GigaCloud Marketplace for which control of the services occur at a later point in time. The contract liabilities will be recognized as revenue when the Group fulfills its performance obligations to transfer the promised products or services to customers, which is expected to occur within one year.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elected the practical expedient in ASC 606-10-50-14(a) not to disclose the information about remaining performance obligations which are part of contracts that have an original expected duration of one year or less.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20. COMMITMENTS AND CONTINGENCIES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leases offices and warehouse under non-cancelable operating lease agreements. Future minimum lease payments under these noncancelable lease agreements with initial terms longer than twelve months are disclosed as maturity of lease liabilities in Note 12. The Group has no other material commitments or long-term obligations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21. RESTRICTED NET ASSETS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ability to pay dividends is primarily dependent on the Group receiving distributions of funds from its subsidiaries. Relevant PRC statutory laws and regulations permit payments of dividends by the Group’s subsidiaries and consolidated VIEs incorporated in the PRC only out of their retained earnings, if any, as determined in accordance with the PRC accounting standards and regulations. The results of operations reflected in the financial statements prepared in accordance with U.S. GAAP differ from those reflected in the statutory financial statements of the Group’s subsidiaries.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PRC Regulations on Enterprises with Foreign Investment, a foreign invested enterprise established in the PRC is required to provide certain statutory reserve funds, namely general reserve fund, the enterprise expansion fund and staff welfare and bonus fund which are appropriated from net profits as reported in the enterprise’s PRC statutory financial statements. A foreign invested enterprise is required to allocate at least 10% of its annual after-tax profits to the general reserve fund until such reserve fund has reached 50% of its registered capital based on the enterprise’s PRC statutory financial statements. Appropriations to the enterprise expansion fund and staff welfare and bonus fund are at the discretion of the board of directors for all foreign invested enterprises. The aforementioned reserved funds can only be used for specific purposes and are not distributable as cash dividends.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accordance with the Company Law of the PRC, a domestic enterprise is required to provide statutory surplus fund at least 10% of its annual after-tax profits until such statutory surplus fund has reached 50%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2"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PRC laws and regulations that require annual appropriations of 10% of net after-tax profits to be set aside prior to payment of dividends as general reserve fund or statutory surplus fund, the Company’s PRC subsidiaries and consolidated VIE are restricted in their ability to transfer a portion of their net assets to the Company.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restricted include paid-in capital and statutory reserve funds, as determined pursuant to the PRC GAAP. Further, as required by the Rule 5-04(c), any restrictions placed on the net assets of the consolidated entities with positive equity exceeding the 25% threshold would be required to provide parent company financial information. As the total net assets of the Company’s PRC subsidiaries and consolidated VIE did not exceed 25% of the consolidated net assets, the condensed parent company financial statements as of and for the three-year period ended December 31, 2023 are not prepared.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22. SUBSEQUENT EVENTS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terminated the Account Control Agreements with four of its consolidated VIEs, B.T.M TRAVEL AND TRADING LTD, COMHARBOR LIMITED, BRIHOME LIMITED which are located in United Kingdom (the "U.K."), and Decobus Handel GmbH which is located in Germany. Concurrently with the termination, the Company acquired 100% equity interest of the four entities from its nominal shareholder with nominal consideration through capital contribution of insignificant amount.</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the Underwriter exercised 29,400 of its warrants under cashless exercise for the Company to issue 13,372 Class A ordinary shares in aggregate. The shares were issued on February 16, 2024, February 23, 2024 and February 28, 2024. All warrants of the underwriter have been exercised as of February 2024.</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2024, one of the Group’s warehouses in Japan, suffered damages due to a warehouse fire. While the Group is still evaluating the facts and assessing the total damages caused by the warehouse fire, the Company estimated an approximately $1.8 million damages with respect to the cost of its inventory held at the warehouse. The Group has insurance coverage associated with the damages to the inventory and warehouse equipment. Furthermore, the Group has a total of four warehouses in Japan and the Group is utilizing the other three warehouses to minimize any disruptions to the Group’s operations in Japan. </w:t>
      </w:r>
    </w:p>
    <w:p>
      <w:pPr>
        <w:pStyle w:val="TextBody"/>
        <w:bidi w:val="0"/>
        <w:spacing w:before="240" w:after="283"/>
        <w:ind w:left="0" w:right="0" w:firstLine="110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3"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color w:val="000000"/>
          <w:sz w:val="20"/>
        </w:rPr>
        <w:t xml:space="preserve">Controls and Procedures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that evaluation, our management has concluded that, as of December 31, 2023, our disclosure controls and procedures were not effective because we identified two material weaknesses in our internal control over financial reporting. The material weaknesses that have been identified relate to (i) our lack of sufficient financial reporting and accounting personnel with appropriate knowledge of U.S. GAAP and the SEC reporting requirements to formalize, design, implement and operate key controls over financial reporting process to address complex U.S. GAAP accounting issues and related disclosures in accordance with U.S. GAAP and financial reporting requirements set forth by the SEC, which could result in misstatements in relevant financial statement accounts and disclosures, and (ii) the design and implementation of our internal control over the independent review of journal entries due to the absence of formalized accounting policies and procedures, as well as inappropriate segregation of duties specific to the preparation and review of journal entries, which could result in misstatements not being timely prevented or detected, with potentially impact on all financial statement accounts and disclosures.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(a) </w:t>
      </w:r>
      <w:r>
        <w:rPr>
          <w:rFonts w:ascii="Times New Roman;sans-serif" w:hAnsi="Times New Roman;sans-serif"/>
          <w:b/>
          <w:i/>
          <w:color w:val="000000"/>
          <w:sz w:val="20"/>
        </w:rPr>
        <w:t xml:space="preserve">Management’s Annual Report on Internal Control over Financial Reporting </w:t>
      </w:r>
    </w:p>
    <w:p>
      <w:pPr>
        <w:pStyle w:val="TextBody"/>
        <w:bidi w:val="0"/>
        <w:spacing w:before="0" w:after="0"/>
        <w:ind w:left="0" w:right="0" w:firstLine="1102"/>
        <w:jc w:val="left"/>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item is defined in Rules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(i) pertain to the maintenance of records that, in reasonable detail, accurately and fairly reflect the transactions and dispositions of a company’s assets, (ii)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(iii) provide reasonable assurance regarding prevention or timely detection of unauthorized acquisition, use, or disposition of a company’s assets that could have a material effect on the consolidated financial statements.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Section 404 of the Sarbanes-Oxley Act and related rules as promulgated by the SEC, our management assessed the effectiveness of our internal control over financial reporting as of December 31, 2023 using criteria established in “Internal Control—Integrated Framework (2013)” issued by the Committee of Sponsoring Organizations of the Treadway Commission.</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guidance from the SEC for acquisitions, the scope of management’s evaluation of the effectiveness of internal controls over financial reporting as of December 31, 2023 excluded Noble House and Wondersign, which we acquired in October and November 2023, respectively. Noble House’s total assets, excluding goodwill and net intangible assets which were included within the scope of assessment, and total revenues represented approximately 31.3% and 4.5% of the total consolidated assets and total consolidated revenues of our Company, respectively, as of and for the year ended December 31, 2023. Wondersign’s total assets, excluding goodwill and net intangible assets which were included within the scope of assessment, and total revenues represented approximately 0.1% and 0.1% of the total consolidated assets and total consolidated revenues of our Company, respectively, as of and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4"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management’s evaluation of our internal control over financial reporting, management identified two material weaknesses in our internal control. Specifically, management concluded that the material weaknesses are related to (i) our lack of sufficient financial reporting and accounting personnel with appropriate knowledge of U.S. GAAP and the SEC reporting requirements to formalize, design, implement and operate key controls over financial reporting process to address complex U.S. GAAP accounting issues and related disclosures in accordance with U.S. GAAP and financial reporting requirements set forth by the SEC, which could result in misstatements in relevant financial statement accounts and disclosures, and (ii) the design and implementation of our internal control over the independent review of journal entries due to the absence of formalized accounting policies and procedures, as well as inappropriate segregation of duties specific to the preparation and review of journal entries, which could result in misstatements not being timely prevented or detected, with potentially impact on all financial statement accounts and disclosures. As a result of the material weaknesses, management has concluded that our internal control over financial reporting was ineffective as of December 31, 2023.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implementing a number of measures to address the material weaknesses identified, including: (1) hiring additional accounting and financial reporting personnel with U.S. GAAP and SEC reporting experience, (2) expanding the capabilities of existing accounting and financial reporting personnel through continuous training and education in the accounting and reporting requirements under U.S. GAAP and SEC rules and regulations, (3) establishing clear roles and responsibilities to develop and implement formal comprehensive financial period-end closing policies and procedures to ensure all transactions are properly recorded and disclosed, (4) establishing effective monitoring and oversight controls for non-recurring and complex transactions to ensure the accuracy and completeness of our consolidated financial statements and related disclosures and (5) designing and implementing formal accounting policies with periodic reviews, procedures and controls supporting our period-end financial reporting process, including controls over the preparation and review of account reconciliations and journal entries.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w:t>
      </w:r>
    </w:p>
    <w:p>
      <w:pPr>
        <w:pStyle w:val="TextBody"/>
        <w:bidi w:val="0"/>
        <w:spacing w:lineRule="auto" w:line="288" w:before="0" w:after="0"/>
        <w:jc w:val="left"/>
        <w:rPr/>
      </w:pPr>
      <w:r>
        <w:rPr>
          <w:rFonts w:ascii="Times New Roman;sans-serif" w:hAnsi="Times New Roman;sans-serif"/>
          <w:b/>
          <w:color w:val="000000"/>
          <w:sz w:val="20"/>
        </w:rPr>
        <w:t xml:space="preserve">(b) </w:t>
      </w:r>
      <w:r>
        <w:rPr>
          <w:rFonts w:ascii="Times New Roman;sans-serif" w:hAnsi="Times New Roman;sans-serif"/>
          <w:b/>
          <w:i/>
          <w:color w:val="000000"/>
          <w:sz w:val="20"/>
        </w:rPr>
        <w:t xml:space="preserve">Attestation Report of the Registered Public Accounting Firm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does not include an attestation report of our company’s registered public accounting firm due to a transition period established by rules of the SEC for emerging growth company. </w:t>
      </w:r>
    </w:p>
    <w:p>
      <w:pPr>
        <w:pStyle w:val="TextBody"/>
        <w:bidi w:val="0"/>
        <w:spacing w:lineRule="auto" w:line="288" w:before="0" w:after="0"/>
        <w:jc w:val="left"/>
        <w:rPr/>
      </w:pPr>
      <w:r>
        <w:rPr>
          <w:rFonts w:ascii="Times New Roman;sans-serif" w:hAnsi="Times New Roman;sans-serif"/>
          <w:b/>
          <w:color w:val="000000"/>
          <w:sz w:val="20"/>
        </w:rPr>
        <w:t>(c)</w:t>
      </w:r>
      <w:r>
        <w:rPr>
          <w:color w:val="000000"/>
        </w:rPr>
        <w:t xml:space="preserve"> </w:t>
      </w: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the fiscal quarter ended December 31, 2023 that have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br/>
        <w:t>10b-5(1) Trading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29, 2023, Mr. Larry Lei Wu, our Chief Executive Officer, has adopted a trading arrangement that is intended to satisfy the affirmative defense of Rule 10b5-1(c) under the Exchange Act, for sale of up to 1,250,000 shares of our Class A ordinary shares, upon the conversion from 1,250,000 shares of our Class B ordinary shares hold indirectly through TALENT BOOM GROUP LIMITED and Ji Xiang Hu Tong Holdings Limited, the entities controlled by Mr. Wu. Mr. Wu's trading arrangement is scheduled to expire no later than September 30, 2024. Except for the foregoing, during the three months ended December 31, 2023, no other director or “officer” (as defined in Rule 16a-1(f) under the Exchange Act) of our company adopted or terminated a “Rule 10b5-1 trading arrangement” or “non-Rule 10b5-1 trading arrangement,” each as defined in Item 408(a) of Regulation S-K.</w:t>
      </w:r>
    </w:p>
    <w:p>
      <w:pPr>
        <w:pStyle w:val="TextBody"/>
        <w:bidi w:val="0"/>
        <w:spacing w:before="120" w:after="283"/>
        <w:ind w:left="0" w:right="0" w:firstLine="110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9C.</w:t>
      </w:r>
      <w:r>
        <w:rPr>
          <w:color w:val="000000"/>
        </w:rPr>
        <w:t xml:space="preserve">       </w:t>
      </w:r>
      <w:r>
        <w:rPr>
          <w:rFonts w:ascii="Times New Roman;sans-serif" w:hAnsi="Times New Roman;sans-serif"/>
          <w:b/>
          <w:color w:val="000000"/>
          <w:sz w:val="20"/>
        </w:rPr>
        <w:t>Disclosure Regarding Foreign Jurisdictions that Prevent Inspections</w:t>
      </w:r>
    </w:p>
    <w:p>
      <w:pPr>
        <w:pStyle w:val="TextBody"/>
        <w:bidi w:val="0"/>
        <w:spacing w:before="0" w:after="0"/>
        <w:ind w:left="0" w:right="0" w:firstLine="1102"/>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5"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the information in our Proxy Statement for our 2024 Annual Meeting of Shareholders, which we will file with the SEC not later than 120 days following the end of the fiscal year to which this annual report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the information in our Proxy Statement for our 2024 Annual Meeting of Shareholders, which we will file with the SEC not later than 120 days following the end of the fiscal year to which this annual report relates.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the information in our Proxy Statement for our 2024 Annual Meeting of Shareholders, which we will file with the SEC not later than 120 days following the end of the fiscal year to which this annual report relates.</w:t>
      </w:r>
    </w:p>
    <w:p>
      <w:pPr>
        <w:pStyle w:val="TextBody"/>
        <w:bidi w:val="0"/>
        <w:spacing w:before="120" w:after="283"/>
        <w:ind w:left="0" w:right="0" w:firstLine="110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the information in our Proxy Statement for our 2024 Annual Meeting of Shareholders, which we will file with the SEC not later than 120 days following the end of the fiscal year to which this annual report relates.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14.</w:t>
      </w:r>
      <w:r>
        <w:rPr>
          <w:color w:val="000000"/>
        </w:rPr>
        <w:t xml:space="preserve">        </w:t>
      </w:r>
      <w:r>
        <w:rPr>
          <w:rFonts w:ascii="Times New Roman;sans-serif" w:hAnsi="Times New Roman;sans-serif"/>
          <w:b/>
          <w:color w:val="000000"/>
          <w:sz w:val="20"/>
        </w:rPr>
        <w:t>Principal Accountant Fees and Services</w:t>
      </w:r>
    </w:p>
    <w:p>
      <w:pPr>
        <w:pStyle w:val="TextBody"/>
        <w:bidi w:val="0"/>
        <w:spacing w:lineRule="auto" w:line="288" w:before="12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the information in our Proxy Statement for our 2024 Annual Meeting of Shareholders, which we will file with the SEC not later than 120 days following the end of the fiscal year to which this annual report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1102"/>
        <w:jc w:val="center"/>
        <w:rPr/>
      </w:pPr>
      <w:r>
        <w:rPr>
          <w:rFonts w:ascii="Times New Roman;sans-serif" w:hAnsi="Times New Roman;sans-serif"/>
          <w:b/>
          <w:color w:val="000000"/>
          <w:sz w:val="20"/>
        </w:rPr>
        <w:t>PART</w:t>
      </w:r>
      <w:r>
        <w:rPr>
          <w:color w:val="000000"/>
        </w:rPr>
        <w:t xml:space="preserve"> </w:t>
      </w:r>
      <w:r>
        <w:rPr>
          <w:rFonts w:ascii="Times New Roman;sans-serif" w:hAnsi="Times New Roman;sans-serif"/>
          <w:b/>
          <w:color w:val="000000"/>
          <w:sz w:val="20"/>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List of Documents Filed as a Part of This Report: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financial statements are filed as part of this annual report on Form 10-K under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w:t>
      </w:r>
    </w:p>
    <w:p>
      <w:pPr>
        <w:pStyle w:val="TextBody"/>
        <w:bidi w:val="0"/>
        <w:spacing w:before="0" w:after="0"/>
        <w:ind w:left="0" w:right="0" w:firstLine="1102"/>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are omitted because they are either inapplicable or not required, or because the required information is included in the consolidated financial statements or notes thereto contained in this annual report on Form 10-K.</w:t>
      </w:r>
    </w:p>
    <w:p>
      <w:pPr>
        <w:pStyle w:val="TextBody"/>
        <w:bidi w:val="0"/>
        <w:spacing w:before="0" w:after="0"/>
        <w:ind w:left="0" w:right="0" w:firstLine="1102"/>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04"/>
        <w:gridCol w:w="2637"/>
        <w:gridCol w:w="373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 xml:space="preserve">Form of Seventh Amended and Restated Memorandum and Articles of Association of the Registrant, as currently in effect (incorporated by reference to Exhibit 3.2 from Amendment No. 1 to the Registrant’s registration statement on Form F-1 (File No. 333-266058) filed with the SEC on July 22, 2022)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 xml:space="preserve">Registrant’s Specimen Certificate for Class A Ordinary Shares (incorporated by reference to Exhibit 4.1 from Amendment No. 1 to the Registrant’s registration statement on Form F-1 (File No. 333-266058) filed with the SEC on July 22, 2022)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6"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
        <w:gridCol w:w="228"/>
        <w:gridCol w:w="235"/>
        <w:gridCol w:w="109"/>
        <w:gridCol w:w="109"/>
        <w:gridCol w:w="109"/>
        <w:gridCol w:w="2846"/>
        <w:gridCol w:w="2613"/>
        <w:gridCol w:w="3698"/>
      </w:tblGrid>
      <w:tr>
        <w:trPr/>
        <w:tc>
          <w:tcPr>
            <w:tcW w:w="2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2descriptionofsecu.htm">
              <w:r>
                <w:rPr>
                  <w:rStyle w:val="InternetLink"/>
                  <w:rFonts w:ascii="Times New Roman;sans-serif" w:hAnsi="Times New Roman;sans-serif"/>
                  <w:b w:val="false"/>
                  <w:color w:val="0000FF"/>
                  <w:sz w:val="20"/>
                  <w:u w:val="single"/>
                </w:rPr>
                <w:t xml:space="preserve">Description of Securities registered under Section 12 of the Exchange Act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 xml:space="preserve">2008 Share Incentive Plan (incorporated by reference to Exhibit 10.1 from the Registrant’s registration statement on Form F-1 (File No. 333-266058) filed with the SEC on July 8,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 xml:space="preserve">2017 Share Incentive Plan (incorporated by reference to Exhibit 10.2 from the Registrant’s registration statement on Form F-1 (File No. 333-266058) filed with the SEC on July 8,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indemnificationa.htm">
              <w:r>
                <w:rPr>
                  <w:rStyle w:val="InternetLink"/>
                  <w:rFonts w:ascii="Times New Roman;sans-serif" w:hAnsi="Times New Roman;sans-serif"/>
                  <w:b w:val="false"/>
                  <w:color w:val="0000FF"/>
                  <w:sz w:val="20"/>
                  <w:u w:val="single"/>
                </w:rPr>
                <w:t xml:space="preserve">Form of Indemnification Agreement between the Registrant and each of its directors and executive officers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 xml:space="preserve">Form of Employment Agreement between the Registrant and each of its executive officers (incorporated by reference to Exhibit 10.4 from the Registrant’s registration statement on Form F-1 (File No. 333-266058) filed with the SEC on July 8,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 xml:space="preserve">Form of Account Control Agreement (incorporated by reference to Exhibit 10.5 from the Registrant’s registration statement on Form F-1 (File No. 333-266058) filed with the SEC on July 8,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 xml:space="preserve">Fifth Amended and Restated Shareholders Agreement among the Registrant and other parties thereto dated February 28, 2021 (incorporated by reference to Exhibit 4.2 from our registration statement on Form F-1 (File No. 333-266058) filed with the SEC on July 8,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 xml:space="preserve">Fourth Amended and Restated Registration Rights Agreement among the Registrant and other parties thereto dated February 28, 2021 (incorporated by reference to Exhibit 4.3 from our registration statement on Form F-1 (File No. 333-266058) filed with the SEC on July 8,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 xml:space="preserve">Founder Undertaking Agreement entered into among the founder of the Registrant, the Registrant and other parties thereto dated July 6, 2022 (incorporated by reference to Exhibit 4.4 from our registration statement on Form F-1 (File No. 333-266058) filed with the SEC on July 8,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 xml:space="preserve">Form of Ordinary Share Purchase Warrant of the Registrant (incorporated by reference to Exhibit 4.5 from Amendment No. 1 to our registration statement on Form F-1 (File No. 333-266058) filed with the SEC on July 22, 2022)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0noblehouseasset.htm">
              <w:r>
                <w:rPr>
                  <w:rStyle w:val="InternetLink"/>
                  <w:rFonts w:ascii="Times New Roman;sans-serif" w:hAnsi="Times New Roman;sans-serif"/>
                  <w:b w:val="false"/>
                  <w:color w:val="0000FF"/>
                  <w:sz w:val="20"/>
                  <w:u w:val="single"/>
                </w:rPr>
                <w:t>Asset Purchase Agreement by and among Noble House Home Furnishings LLC and Certain Affiliates and the Registrant dated September 11, 2023</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insidertradingpo.htm">
              <w:r>
                <w:rPr>
                  <w:rStyle w:val="InternetLink"/>
                  <w:rFonts w:ascii="Times New Roman;sans-serif" w:hAnsi="Times New Roman;sans-serif"/>
                  <w:b w:val="false"/>
                  <w:color w:val="0000FF"/>
                  <w:sz w:val="20"/>
                  <w:u w:val="single"/>
                </w:rPr>
                <w:t>Insider trading policy of the Registrant</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principalsubsidi.htm">
              <w:r>
                <w:rPr>
                  <w:rStyle w:val="InternetLink"/>
                  <w:rFonts w:ascii="Times New Roman;sans-serif" w:hAnsi="Times New Roman;sans-serif"/>
                  <w:b w:val="false"/>
                  <w:color w:val="0000FF"/>
                  <w:sz w:val="20"/>
                  <w:u w:val="single"/>
                </w:rPr>
                <w:t>Principal Subsidiaries of the Registrant</w:t>
              </w:r>
            </w:hyperlink>
            <w:r>
              <w:rPr>
                <w:color w:val="000000"/>
              </w:rPr>
              <w:t xml:space="preserve"> </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consentofkpmghua.htm">
              <w:r>
                <w:rPr>
                  <w:rStyle w:val="InternetLink"/>
                  <w:rFonts w:ascii="Times New Roman;sans-serif" w:hAnsi="Times New Roman;sans-serif"/>
                  <w:b w:val="false"/>
                  <w:color w:val="0000FF"/>
                  <w:sz w:val="20"/>
                  <w:u w:val="single"/>
                </w:rPr>
                <w:t xml:space="preserve">Consent of KPMG Huazhen LLP, an independent registered public accounting firm </w:t>
              </w:r>
            </w:hyperlink>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2consentofmaplesa.htm">
              <w:r>
                <w:rPr>
                  <w:rStyle w:val="InternetLink"/>
                  <w:rFonts w:ascii="Times New Roman;sans-serif" w:hAnsi="Times New Roman;sans-serif"/>
                  <w:b w:val="false"/>
                  <w:color w:val="0000FF"/>
                  <w:sz w:val="20"/>
                  <w:u w:val="single"/>
                </w:rPr>
                <w:t xml:space="preserve">Consent of Maples and Calder (Hong Kong) LLP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3consentofhankunl.htm">
              <w:r>
                <w:rPr>
                  <w:rStyle w:val="InternetLink"/>
                  <w:rFonts w:ascii="Times New Roman;sans-serif" w:hAnsi="Times New Roman;sans-serif"/>
                  <w:b w:val="false"/>
                  <w:color w:val="0000FF"/>
                  <w:sz w:val="20"/>
                  <w:u w:val="single"/>
                </w:rPr>
                <w:t xml:space="preserve">Consent of Han Kun Law Offices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rtificationbyp.htm">
              <w:r>
                <w:rPr>
                  <w:rStyle w:val="InternetLink"/>
                  <w:rFonts w:ascii="Times New Roman;sans-serif" w:hAnsi="Times New Roman;sans-serif"/>
                  <w:b w:val="false"/>
                  <w:color w:val="0000FF"/>
                  <w:sz w:val="20"/>
                  <w:u w:val="single"/>
                </w:rPr>
                <w:t xml:space="preserve">Certification by Principal Executive Officer Pursuant to Section 302 of the Sarbanes-Oxley Act of 2002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ertificationbyp.htm">
              <w:r>
                <w:rPr>
                  <w:rStyle w:val="InternetLink"/>
                  <w:rFonts w:ascii="Times New Roman;sans-serif" w:hAnsi="Times New Roman;sans-serif"/>
                  <w:b w:val="false"/>
                  <w:color w:val="0000FF"/>
                  <w:sz w:val="20"/>
                  <w:u w:val="single"/>
                </w:rPr>
                <w:t xml:space="preserve">Certification by Principal Financial Officer Pursuant to Section 302 of the Sarbanes-Oxley Act of 2002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rtificationbyt.htm">
              <w:r>
                <w:rPr>
                  <w:rStyle w:val="InternetLink"/>
                  <w:rFonts w:ascii="Times New Roman;sans-serif" w:hAnsi="Times New Roman;sans-serif"/>
                  <w:b w:val="false"/>
                  <w:color w:val="0000FF"/>
                  <w:sz w:val="20"/>
                  <w:u w:val="single"/>
                </w:rPr>
                <w:t xml:space="preserve">Certification by the Principal Executive Officer pursuant to Section 906 of the Sarbanes-Oxley Act of 2002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certificationbyp.htm">
              <w:r>
                <w:rPr>
                  <w:rStyle w:val="InternetLink"/>
                  <w:rFonts w:ascii="Times New Roman;sans-serif" w:hAnsi="Times New Roman;sans-serif"/>
                  <w:b w:val="false"/>
                  <w:color w:val="0000FF"/>
                  <w:sz w:val="20"/>
                  <w:u w:val="single"/>
                </w:rPr>
                <w:t xml:space="preserve">Certification by the Principal Financial Officer pursuant to Section 906 of the Sarbanes-Oxley Act of 2002 </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71clawbackpolicy.htm">
              <w:r>
                <w:rPr>
                  <w:rStyle w:val="InternetLink"/>
                  <w:rFonts w:ascii="Times New Roman;sans-serif" w:hAnsi="Times New Roman;sans-serif"/>
                  <w:b w:val="false"/>
                  <w:color w:val="0000FF"/>
                  <w:sz w:val="20"/>
                  <w:u w:val="single"/>
                </w:rPr>
                <w:t>Clawback Policy</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7"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v:textbox>
                <w10:wrap type="none"/>
              </v:rect>
            </w:pict>
          </mc:Fallback>
        </mc:AlternateContent>
      </w:r>
    </w:p>
    <w:p>
      <w:pPr>
        <w:pStyle w:val="TextBody"/>
        <w:bidi w:val="0"/>
        <w:spacing w:before="0" w:after="0"/>
        <w:jc w:val="left"/>
        <w:rPr/>
      </w:pPr>
      <w:r>
        <w:rPr/>
      </w:r>
    </w:p>
    <w:tbl>
      <w:tblPr>
        <w:tblW w:w="8922" w:type="dxa"/>
        <w:jc w:val="left"/>
        <w:tblInd w:w="0" w:type="dxa"/>
        <w:tblLayout w:type="fixed"/>
        <w:tblCellMar>
          <w:top w:w="28" w:type="dxa"/>
          <w:left w:w="28" w:type="dxa"/>
          <w:bottom w:w="28" w:type="dxa"/>
          <w:right w:w="28" w:type="dxa"/>
        </w:tblCellMar>
      </w:tblPr>
      <w:tblGrid>
        <w:gridCol w:w="353"/>
        <w:gridCol w:w="309"/>
        <w:gridCol w:w="313"/>
        <w:gridCol w:w="109"/>
        <w:gridCol w:w="109"/>
        <w:gridCol w:w="109"/>
        <w:gridCol w:w="2229"/>
        <w:gridCol w:w="2229"/>
        <w:gridCol w:w="316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Exhibit 101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 This certification is deemed not “filed” by us for purposes of Section 18 of the Exchange Act , or otherwise subject to the liability of that section. This certification will not be deemed to be incorporated by reference into any filing under the Securities Act or the Exchange Act, except to the extent that we specifically incorporate it by reference.</w:t>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Indicates a 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8"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10-K]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10-K]</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521" w:type="dxa"/>
        <w:jc w:val="left"/>
        <w:tblInd w:w="0" w:type="dxa"/>
        <w:tblLayout w:type="fixed"/>
        <w:tblCellMar>
          <w:top w:w="28" w:type="dxa"/>
          <w:left w:w="28" w:type="dxa"/>
          <w:bottom w:w="28" w:type="dxa"/>
          <w:right w:w="28" w:type="dxa"/>
        </w:tblCellMar>
      </w:tblPr>
      <w:tblGrid>
        <w:gridCol w:w="124"/>
        <w:gridCol w:w="109"/>
        <w:gridCol w:w="109"/>
        <w:gridCol w:w="370"/>
        <w:gridCol w:w="370"/>
        <w:gridCol w:w="370"/>
        <w:gridCol w:w="600"/>
        <w:gridCol w:w="600"/>
        <w:gridCol w:w="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GigaCloud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Lei Wu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Lei Wu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27,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79"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10-K]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10-K]</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237" w:type="dxa"/>
        <w:jc w:val="left"/>
        <w:tblInd w:w="0" w:type="dxa"/>
        <w:tblLayout w:type="fixed"/>
        <w:tblCellMar>
          <w:top w:w="28" w:type="dxa"/>
          <w:left w:w="28" w:type="dxa"/>
          <w:bottom w:w="28" w:type="dxa"/>
          <w:right w:w="28" w:type="dxa"/>
        </w:tblCellMar>
      </w:tblPr>
      <w:tblGrid>
        <w:gridCol w:w="748"/>
        <w:gridCol w:w="659"/>
        <w:gridCol w:w="663"/>
        <w:gridCol w:w="109"/>
        <w:gridCol w:w="109"/>
        <w:gridCol w:w="109"/>
        <w:gridCol w:w="1020"/>
        <w:gridCol w:w="1020"/>
        <w:gridCol w:w="1034"/>
        <w:gridCol w:w="109"/>
        <w:gridCol w:w="109"/>
        <w:gridCol w:w="109"/>
        <w:gridCol w:w="419"/>
        <w:gridCol w:w="419"/>
        <w:gridCol w:w="601"/>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Larry Lei Wu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Lei Wu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Kwok Hei David Lau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Kwok Hei David Lau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Zhiwu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Zhiwu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Jan William Visser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 William Visser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Lorri Kelley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Lorri Kelley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4.2</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SECURITIES </w:t>
        <w:br/>
        <w:t xml:space="preserve">REGISTERED UNDER SECTION 12 OF THE SECURITIES EXCHANGE ACT </w:t>
        <w:br/>
        <w:t>OF 1934</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Cayman Islands exempted company with limited liability and our corporate affairs are governed by our memorandum and articles of association, as amended and restated from time to time, the Companies Act of the Cayman Islands, and the common law of the Cayman Islands. Our registered office in the Cayman Islands is at the offices of Maples Corporate Services Limited at PO Box 309, Ugland House, Grand Cayman, KY1-1104, Cayman Islands. Under our seventh amended and restated memorandum and articles of association, the objects of our company are unrestricted and we have the full power and authority to carry out any object not prohibited by the Companies Act or any other law of the Cayman Islands.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fiscal year covered by the annual report on Form 10-K (the “10-K”) of GigaCloud Technology Inc (“we,” “us” or “our”) to which this description is attached or incorporated by reference as an exhibit, we registered the Class A ordinary shares, par value $0.05 per share (the “Class A ordinary shares”), as set forth below, pursuant to Section 12 of the Securities Exchange Act of 1934, as amended (the “Exchange Act”):</w:t>
      </w:r>
    </w:p>
    <w:p>
      <w:pPr>
        <w:pStyle w:val="TextBody"/>
        <w:bidi w:val="0"/>
        <w:spacing w:before="0" w:after="0"/>
        <w:ind w:left="0" w:right="0" w:firstLine="720"/>
        <w:jc w:val="left"/>
        <w:rPr/>
      </w:pPr>
      <w:r>
        <w:rPr/>
      </w:r>
    </w:p>
    <w:tbl>
      <w:tblPr>
        <w:tblW w:w="9642" w:type="dxa"/>
        <w:jc w:val="left"/>
        <w:tblInd w:w="0" w:type="dxa"/>
        <w:tblLayout w:type="fixed"/>
        <w:tblCellMar>
          <w:top w:w="28" w:type="dxa"/>
          <w:left w:w="28" w:type="dxa"/>
          <w:bottom w:w="28" w:type="dxa"/>
          <w:right w:w="28" w:type="dxa"/>
        </w:tblCellMar>
      </w:tblPr>
      <w:tblGrid>
        <w:gridCol w:w="1495"/>
        <w:gridCol w:w="1307"/>
        <w:gridCol w:w="1322"/>
        <w:gridCol w:w="499"/>
        <w:gridCol w:w="499"/>
        <w:gridCol w:w="501"/>
        <w:gridCol w:w="1174"/>
        <w:gridCol w:w="1174"/>
        <w:gridCol w:w="1671"/>
      </w:tblGrid>
      <w:tr>
        <w:trPr/>
        <w:tc>
          <w:tcPr>
            <w:tcW w:w="14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par value $0.05 per share</w:t>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GCT</w:t>
            </w:r>
          </w:p>
        </w:tc>
        <w:tc>
          <w:tcPr>
            <w:tcW w:w="4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and share registrar for our Class A ordinary shares is Computershare Trust Company, N.A. The transfer agent’s address is 150 Royall Street, Canton, Massachusetts 02021, and its telephone number is +1 (781) 575-2464.</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the material terms of our Class A ordinary shares is not intended to be a complete summary of the rights and preferences of our Class A ordinary shares. This summary is subject to and qualified in its entirety by reference to our memorandum and articles of association, as amended and restated from time to time (“our memorandum and articles of association”). We urge you to refer to our memorandum and articles of association in its entirety for a complete description of the rights and preferences of our Class A ordinary shares. A copy of our amended and restated memorandum and articles of association adopted by special resolution passed on July 5, 2022 and effective on August 22, 2022 was filed as Exhibit 3.2 to Amendment No. 1 to our Form F-1 Registration Statement (File No. 333-266058), which was filed with the U.S. Securities and Exchange Commission (the “SEC”) on July 22, 2022 and incorporated by reference as an exhibit to our most recent 10-K.</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Authorized Share Capital</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ending date of the period covered by this 10-K and as of the date of this 10-K, our authorized share capital is $3,000,000 divided into 60,000,000 ordinary shares of par value $0.05 each, comprising of (i) 50,673,268 Class A ordinary shares of par value $0.05 each and (ii) 9,326,732 Class B ordinary shares of a par value of $0.05 each.</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Ordinary Shares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issued and outstanding ordinary shares, which consist of Class A ordinary shares and Class B ordinary shares, par value $0.05 per share, are fully paid and non-assessable. Our ordinary shares are issued in registered form and are issued when registered in our register of members. We may not issue shares to bearer. Our shareholders who are non-residents of the Cayman Islands may freely hold, transfer and vote their ordinary shares. The ordinary shares are entitled to participate in our profits and assets.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Class A ordinary shares and Class B ordinary shares have the same rights except for voting and conversion rights. Except for voting and conversion rights, the Class A ordinary shares and Class B ordinary shares carry equal rights and rank pari passu with one another, including the rights to dividends and other capital distributions.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Only our Class A ordinary shares are registered under Section 12 of the Securities Exchange Act of 1934, as amended.</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80"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outstanding ordinary shares are entitled to receive dividends out of funds legally available therefor, if our board of directors, in its discretion, determines to declare and pay dividends and only then at the times and in the amounts that our board of directors may determine.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shareholders may by ordinary resolution declare a dividend, but no dividend may exceed the amount recommended by our directors.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However, in no circumstances may a dividend be paid if this would result in our company being unable to pay its debts as they fall due in the ordinary course of business. Holders of our ordinary shares will be entitled to such dividends as may be declared by our board of directors and participate pro rata in dividends, if declared. Subject to the Companies Act, our directors may declare dividends in any currency to be paid to our shareholders.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Class B ordinary share is convertible into one Class A ordinary share at any time at the option of the holder thereof. Class A ordinary shares are not convertible into Class B ordinary shares under any circumstances. Upon any sale, transfer, assignment or disposition of Class B ordinary shares by a holder thereof to any person or entity that is not an affiliate (as defined in our memorandum and articles of association) of such holder, or upon a change of control of the ultimate beneficial ownership of any Class B ordinary shares to any person or entity who is not an affiliate of the registered holder of such Class B ordinary shares, such Class B ordinary shares will be automatically and immediately converted into an equal number of Class A ordinary shares.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an undertaking letter dated July 6, 2022, Mr. Larry Lei Wu, or the Founder, together with Ji Xiang Hu Tong Holdings Limited and TALENT BOOM GROUP LIMITED, or collectively, the Founder Holders, have undertaken to our company that: for a period of five years after the closing of our initial public offering, (i) without the prior written consent of our board of directors and at least a majority of the independent directors, the Founder Holders will not agree to, approve, support, vote (in favor of or against), or otherwise cause our company to agree to, enter into or consummate, a privatization transaction, unless the consideration per Class A ordinary share payable to shareholders of the Class A ordinary shares in connection with such privatization transaction is at least equal to the price per Class A ordinary share initially offered to the public in our initial public offering (subject to appropriate adjustment in the event of any share dividend, share subdivision, consolidation or other similar recapitalization with respect to the Class A ordinary shares), provided, for greater clarity, if the Founder is serving on the board, the Founder may vote in favor of, against, or abstain from voting on, a privatization transaction in the capacity of a director, and if such privatization transaction is approved by the board and at least a majority of the independent directors, the Founder Holders as shareholders may vote in favor of, against, or abstain from voting on, the privatization transaction; and (ii) upon the first to occur of: (a) the Founder being permanently unable to engage in the business affairs of our company as a result of incapacity solely due to his physical and/or mental condition (which, for the avoidance of doubt, does not include any confinement against his will) or (b) the Founder’s primary business occupation no longer being either a director or an employee of our company, the Founder Holders shall cause, at such time, such Class B ordinary shares held by the Founder Holders to be converted into an equal number of Class A ordinary shares in accordance with our amended and restated memorandum and articles of association.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for a period of five years after the closing of our initial public offering, each Founder Holder agrees, prior to effectuating an indirect or direct transfer of any Class B ordinary shares, to cause any such proposed transferee of the Class B ordinary shares to execute and deliver to our company a counterpart signature to the undertaking letter confirming that such transferee shall be bound by all of the terms and conditions of the undertaking letter as a Founder Holder. Each Founder Holder may enter into a bona fide transaction with any third-party pledgee that is not an affiliate of such Founder Holder with the Class B ordinary shares as collateral (whether through any pledge, charge, encumbrance or other lien) to secure obligations pursuant to lending or other arrangements between such third party and the Founder Holder without complying with the undertaking letter until the rights to such collateral are enforced to the extent the Class B ordinary shares are not converted to Class A ordinary shares.</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“privatization transaction” means any of the following: (a) a “person” or “group” within the meaning of Section 13(d) of the Exchange Act, other than the Founder Holders or us and our wholly-owned subsidiaries, becomes the direct or indirect beneficial owner, of more than 50% of the voting power of our shares; (b) the consummation of (i) any recapitalization, reclassification or change of our Class A ordinary shares (other than changes resulting from a subdivision or consolidation) as a result of which our Class A ordinary shares would be converted into, or exchanged for, stock, other securities, other property or assets; (ii) any share exchange, consolidation or merger to which we are a party pursuant to which our Class A ordinary shares will be converted into cash, securities or other property or assets; or (iii) any sale, lease or other transfer in one transaction or a series of transactions of all or substantially all of our consolidated assets to any person or entity other than one of our wholly-owned subsidiaries; (c) our shareholders approve any plan or proposal for our liquidation or dissolution; or (d) our Class A ordinary shares cease to be listed or quoted on any of The New York Stock Exchange, The Nasdaq Global Select Market, The Nasdaq Global Market or The Nasdaq Capital Market (each,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21945"/>
                <wp:effectExtent l="0" t="0" r="0" b="0"/>
                <wp:wrapNone/>
                <wp:docPr id="181" name="Frame1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“permitted exchange”), provided, that a transaction or transactions described in (a) or (b) above shall not constitute a privatization transaction if at least 90% of the consideration received or to be received by the holders of our Class A ordinary shares, excluding cash payments for fractional shares and cash payments made in respect of dissenters’ statutory appraisal rights, in connection with such transaction or transactions consists of ordinary or common shares or other common equity that are listed or quoted on a permitted exchange or will be so listed or quoted when issued or exchanged in connection with such transaction or transactions.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shareholder is entitled to one vote for each Class A ordinary share and ten votes for each Class B ordinary share of which he or she is the holder, voting together as a single class, on all matters that require a shareholders’ vote. At any general meeting a resolution put to the vote at the meeting shall be decided on a show of hands, unless a poll is (before or on the declaration of the result of the show of hands) demanded by the chairman of the meeting or any shareholder present in person or by proxy.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shareholder shall be entitled to vote or be reckoned in a quorum, in respect of any share, unless such shareholder is duly registered as our shareholder on the record date for such meeting and all calls or installments due by such shareholder to us have been paid.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 ordinary resolution to be passed at a general meeting requires the affirmative vote of a simple majority of the votes which are cast by those shareholders who attend and vote at the meeting, while a special resolution requires the affirmative vote of no less than two-thirds of votes which are cast by those shareholders who attend and vote at the meeting. Both ordinary resolutions and special resolutions may also be passed by a unanimous written resolution signed by all the shareholders of our company, as permitted by the Companies Act and our memorandum and articles of association. Under the Companies Act, a special resolution is required for certain important matters, including changing our company’s name, and making any amendments to our memorandum and articles of association.</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Cumulative Voting</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prohibitions in relation to cumulative voting under the laws of the Cayman Islands but our memorandum and articles of association do not provide for cumulative voting. </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Transfer of Ordinary Shares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any applicable restrictions set forth in our memorandum and articles of association, any of our shareholders may transfer all or any of his or her shares by an instrument of transfer in any usual or common form or in any other form that our directors may approve.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directors may, in their absolute discretion, decline to register any transfer of any share which is not paid up or on which we have a lien. Our directors may also decline to register any transfer of any share unless: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instrument of transfer is lodged with us and is accompanied by the certificate for the shares to which it relates and such other evidence as our directors may reasonably require to show the right of the transferor to make the transfer;</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instrument of transfer is in respect of only one class of share;</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instrument of transfer is properly stamped (in circumstances where stamping is required);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fee of such maximum sum as the Nasdaq Global Market may determine to be payable or such lesser sum as our directors may from time to time require is paid to us in respect thereof.</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any future shares which are issued with specific rights, (i) if we are wound up and the assets available for distribution among our shareholders are more than sufficient to repay the whole of the share capital at the commencement of the winding up, the surplus shall be distributed among those shareholders in proportion to the par value of the shares held by them at the commencement of the winding up, subject to a deduction from those shares in respect of which there are monies due, of all monies payable to our company for unpaid calls or otherwise and (ii) if we are wound up and the assets available for distribution among our shareholders are insufficient to repay the whole of the share capital, those assets shall be distributed so that, as nearly as may be, the losses shall be borne by the shareholders in proportion to the par value of the shares held by them.</w:t>
      </w:r>
    </w:p>
    <w:p>
      <w:pPr>
        <w:pStyle w:val="TextBody"/>
        <w:bidi w:val="0"/>
        <w:spacing w:before="0" w:after="0"/>
        <w:ind w:left="0" w:right="0" w:firstLine="720"/>
        <w:jc w:val="left"/>
        <w:rPr/>
      </w:pPr>
      <w:r>
        <w:rPr/>
      </w:r>
    </w:p>
    <w:p>
      <w:pPr>
        <w:pStyle w:val="TextBody"/>
        <w:bidi w:val="0"/>
        <w:spacing w:lineRule="auto" w:line="240"/>
        <w:jc w:val="left"/>
        <w:rPr>
          <w:rFonts w:ascii="Times New Roman;sans-serif" w:hAnsi="Times New Roman;sans-serif"/>
          <w:b/>
          <w:i/>
          <w:color w:val="000000"/>
          <w:sz w:val="20"/>
        </w:rPr>
      </w:pPr>
      <w:r>
        <w:rPr>
          <w:rFonts w:ascii="Times New Roman;sans-serif" w:hAnsi="Times New Roman;sans-serif"/>
          <w:b/>
          <w:i/>
          <w:color w:val="000000"/>
          <w:sz w:val="20"/>
        </w:rPr>
        <w:t>Calls on Ordinary Shares and Forfeiture of Ordinary Shares</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21945"/>
                <wp:effectExtent l="0" t="0" r="0" b="0"/>
                <wp:wrapNone/>
                <wp:docPr id="182" name="Frame1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our memorandum and articles of association and to the terms of allotment, our board of directors may from time to time make calls upon shareholders for any amounts unpaid on their ordinary shares in a notice served to such shareholders at least 14 calendar days prior to the specified time of payment. The ordinary shares that have been called upon and remain unpaid are subject to forfeiture.</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Variations of Rights of Shares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our share capital is divided into different classes of shares, all or any of the rights attached to any class of shares may, subject to any rights or restrictions for the time being attached to any class, only be varied with the consent in writing of the holders of 80 percent of the issued shares of that class, or with the sanction of a special resolution passed at a separate meeting of the holders of the shares of that class. Consequently, the rights of any class of shares cannot be detrimentally altered without approval of at least two-thirds of the votes cast at a separate meeting of the holders of the shares in that class.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conferred upon the holders of the shares of any class issued with preferred or other rights shall not, subject to any rights or restrictions for the time being attached to the shares of that class, be deemed to be varied by the creation or issue of further shares ranking pari passu or subordinate with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Redemption of Shares, Repurchase and Surrender of Ordinary Shares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empowered by the Companies Act and our memorandum and articles of association to purchase our own shares, subject to certain restrictions. We may issue shares that are subject to redemption, at our option or at the option of the holders, and the redemption of shares shall be effected in such manner and upon such terms as may be determined, before the issue of such shares, by our board of directors.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repurchase any of our shares on such terms and in such manner as have been approved by our board of directors or are otherwise authorized by our memorandum and articles of association.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the redemption or repurchase of any share may be paid out of the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Pre-emptive Right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ordinary shares do not have preemptive rights.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 or Qualifications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provisions in our memorandum and articles of association governing the rights evidenced by, or amounts payable with respect to, the shares to be registered are, or may be, materially limited or qualified by the rights of any other authorized class of securities.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Sinking Fund Provisions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provisions in our memorandum and articles of association governing sinking fund. </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Anti-Takeover Provisions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our memorandum and articles of association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provisions of our memorandum and articles of association may discourage, delay or prevent a change of control of our company or management that shareholders may consider favorable, including provisions that (i) authorize our board of directors to issue preference shares in one or more series and to designate the price, rights, preferences, privileges and restrictions of such preference shares without any further vote or action by our shareholders, (ii) limit the ability of shareholders to requisition and convene general meetings of shareholders and (iii) provide for a dual class share capital structure, which provides our founder, chairman and chief executive officer with the ability to control the outcome of matters requiring shareholder approval, including significant corporate transactions.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21945"/>
                <wp:effectExtent l="0" t="0" r="0" b="0"/>
                <wp:wrapNone/>
                <wp:docPr id="183" name="Frame1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Companies Act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Mergers and Similar Arrangements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combined company and the vesting of the undertaking, property and liabilities of such companies to the consolidated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effect such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three-fourths in value of shareholders, or (b) a majority in number representing three-fourths in value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statutory provisions as to the required vote have been met;</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shareholders have been fairly represented at the meeting in question and the statutory majority are acting bona fide without coercion of the minority to promote interests adverse to those of the class;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arrangement is such that may be reasonably approved by an intelligent and honest man of that class acting in respect of his interest;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arrangement is not one that would more properly be sanctioned under some other provision of the Companies Act.</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Companies Act also contains a statutory power of compulsory acquisition which may facilitate the “squeeze out” of dissenting minority shareholders upon a tender offer. When a tender offer is made and accepted by holders of 90.0% of the shares affected within four months, the offeror may, within a two-month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21945"/>
                <wp:effectExtent l="0" t="0" r="0" b="0"/>
                <wp:wrapNone/>
                <wp:docPr id="184" name="Frame1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arrangement and reconstruction by way of scheme of arrangement are thus approved and sanctioned, or if a tender offer is made and accepted, in accordance with the foregoing statutory procedures, a dissenting shareholder would have no rights comparable to appraisal rights, providing rights to receive payment in cash for the judicially determined value of the shares.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Certain Provisions of Our Articles of Associations and the Companies Act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Issuance of Additional Shares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issuance of additional shares does not require the approvals from our shareholders. Our memorandum and articles of association authorize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memorandum and articles of association also authorize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designation of the series;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number of shares of the series;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dividend rights, dividend rates, conversion rights, voting rights;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rights and terms of redemption and liquidation preferences.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issue preference shares without action by our shareholders to the extent of available authorized but unissued shares. Issuance of these shares may dilute the voting power of holders of ordinary shares.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Alteration of Capital</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by ordinary resolution in accordance with the Companies Act:</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increase our capital by such sum, to be divided into shares of such classes and amounts, as the resolution shall prescribe;</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consolidate and divide all or any of our share capital into shares of larger amounts than our existing shares;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cancel any shares which at the date of the passing of the resolution have not been taken or agreed to be taken by any person, and diminish the amount of its share capital by the amount of the shares so cancelled;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sub-divide our shares or any of them into shares of smaller amount than is fixed by our memorandum of association, provided that in the subdivision the proportion between the amount paid and the amount, if any, unpaid on each reduced share shall be the same as it was in case of the share from which the reduced share is derived.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by special resolution, subject to any confirmation or consent required by the Companies Act, reduce our share capital or any capital redemption reserve in any manner authorized by law.</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General Meetings of Shareholders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Cayman Islands exempted company, we are not obliged by the Companies Act to call 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Each general meeting, other than an annual general meeting, shall be an extraordinary general meeting.</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meetings may be convened by our board of directors (acting by a resolution of the board). Advance notice of at least ten calendar days is required for the convening of our annual general meeting and any other general meeting of our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21945"/>
                <wp:effectExtent l="0" t="0" r="0" b="0"/>
                <wp:wrapNone/>
                <wp:docPr id="185" name="Frame1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A quorum required for a meeting of shareholders consists of at least one shareholder present in person or by proxy, or, if a corporation or other non-natural person, by its duly authorized representative, holding shares which carry in aggregate not less than one-third of all votes attaching to all shares in issue and entitled to vote at the meeting, except that for a meeting of a class of shareholders convened to sanction a variation of the rights of that class of shares (as referred to in in the section </w:t>
      </w:r>
      <w:r>
        <w:rPr>
          <w:rFonts w:ascii="Times New Roman;sans-serif" w:hAnsi="Times New Roman;sans-serif"/>
          <w:b/>
          <w:i/>
          <w:color w:val="000000"/>
          <w:sz w:val="20"/>
        </w:rPr>
        <w:t>Variations of Rights of Shares</w:t>
      </w:r>
      <w:r>
        <w:rPr>
          <w:color w:val="000000"/>
        </w:rPr>
        <w:t xml:space="preserve"> </w:t>
      </w:r>
      <w:r>
        <w:rPr>
          <w:rFonts w:ascii="Times New Roman;sans-serif" w:hAnsi="Times New Roman;sans-serif"/>
          <w:b w:val="false"/>
          <w:color w:val="000000"/>
          <w:sz w:val="20"/>
        </w:rPr>
        <w:t>above), the necessary quorum shall be one or more persons holding or representing by proxy at least half of the issued shares of the relevant class.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Shareholder Proposals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not less than 10 percent of all votes attaching to the issued and outstanding shares of our company that as at the date of the deposit carry the right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Shareholder Action by Written Consent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law and our memorandum and articles of association provide that shareholders may approve corporate matters and adopt both ordinary resolutions and special resolutions by way of unanimous written resolutions signed by all of the shareholders of our company who would have been entitled to vote on such matter at a general meeting, without a meeting being held.</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Interested Shareholders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law does not regulate transactions between a company and its significant shareholders. However, it does provide that such transactions must be entered into bona fide in the best interests of the company and for a proper purpose and not with the effect of constituting a fraud on the minority shareholders.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Shareholders’ Suits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company acts or proposes to act illegally or ultra vires;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act complained of, although not ultra vires, could only be effected duly if authorized by more than a simple majority vote that has not been obtained;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those who control our company are perpetrating a “fraud on the minority.”</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Indemnification of Directors and Executive Officers and Limitation of Liability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providing indemnification against civil fraud or the consequences of committing a crime.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memorandum and articles of association provide that each of our directors shall be indemnified against all actions, proceedings, costs, charges, expenses, losses, damages or liabilities incurred or sustained by such director, other than by reason of such director’s own dishonesty, willful default or fraud, in or about the conduct of our company’s business or affairs (including as a result of any mistake of judgment) or in the execution or discharge of his duties, powers, authorities or discretions, including any costs, expenses, losses or liabilities incurred by such director in defending (whether successfully or otherwise) any civil proceedings concerning our company or our affairs in any court whether in the Cayman Islands or elsewhere.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21945"/>
                <wp:effectExtent l="0" t="0" r="0" b="0"/>
                <wp:wrapNone/>
                <wp:docPr id="186" name="Frame1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Directors’ Fiduciary Duties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matter of Cayman Islands law, a director of a Cayman Islands company is in the position of a fiduciary with respect to the company and therefore it is considered that he or she owes the following duties to the company:</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duty to act in good faith in the best interests of the company,</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duty not to make a personal profit based on his or her position as director (unless the company permits him or her to do so),</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duty not to put himself or herself in a position where the interests of the company conflict with his or her personal interest or his or her duty to a third party,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duty to exercise powers for the purpose for which such powers were intended.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Removal of Directors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our memorandum and articles of association, directors may be removed with or without cause, by an ordinary resolution of our shareholders. A director will also cease to be a director if, among other things, he or she (i) becomes bankrupt or makes any arrangement or composition with his or her creditors; (ii) dies or is found to be or becomes of unsound mind; (iii) resigns his or her office by notice in writing; (iv) without special leave of absence from our board of directors, is absent from three consecutive meetings of the board and the board resolves that his or her office be vacated, or (v) is removed from office pursuant to any other provision of our articles of association.</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Dissolution; Winding Up</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Amendment of Governing Documents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Cayman Islands law, our memorandum and articles of association may only be amended by a special resolution of our shareholders.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Rights of Non-resident or Foreign Shareholders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limitations imposed by our seventh amended and restated memorandum and articles of association on the rights of non-resident or foreign shareholders to hold or exercise voting rights on our shares.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no provisions in our memorandum and articles of association governing the ownership threshold above which shareholder ownership must be disclosed.</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Inspection of Books and Records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ordinary shares have no general right under Cayman Islands law to inspect or obtain copies of our list of shareholders or our corporate records (other than our memorandum and articles of association, our register of mortgages and charge, and any special resolution passed by our shareholders). However, we will provide our shareholders with annual audited financial statements.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Register of Members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we must keep a register of members and there should be entered therein:</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21945"/>
                <wp:effectExtent l="0" t="0" r="0" b="0"/>
                <wp:wrapNone/>
                <wp:docPr id="187" name="Frame1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names and addresses of our members, and a statement of the shares held by each member (including confirmation of (i) the amount paid or agreed to be considered as paid on the shares of each member, (ii) the number and category of shares held by each member, and (iii) whether each relevant category of shares held by each member carries voting rights under the articles of association of the company and if so, whether such voting rights are conditional);</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date on which the name of any person was entered on the register as a member;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date on which any person ceased to be a member.</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the register of members is prima facie evidence of the registered holder or member of shares of a company. Therefore, a person becomes a registered holder or member of shares of the company only upon entry being made in the register of members. A member registered in the register of members is deemed as a matter of Cayman Islands law to have legal title to the shares as set against its name in the register of members.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The Court may either refuse such application or it may, if satisfied of the justice of the case, make an order for the rectification of the register.</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Exempted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does not have to file an annual return of its shareholders with the Registrar of Companies;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is not required to open its register of members for inspection;</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does not have to hold an annual general meeting;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may obtain an undertaking against the imposition of any future taxation (such undertakings are usually given for 30 years in the first instance);</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may register by way of continuation in another jurisdiction and be deregistered in the Cayman Islands;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may register as a limited duration company; and</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may register as a segregated portfolio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color w:val="000000"/>
        </w:rPr>
      </w:pPr>
      <w:r>
        <w:rPr>
          <w:color w:val="000000"/>
        </w:rPr>
        <w:t>“</w:t>
      </w:r>
      <w:r>
        <w:rPr>
          <w:rFonts w:ascii="Times New Roman;sans-serif" w:hAnsi="Times New Roman;sans-serif"/>
          <w:b w:val="false"/>
          <w:color w:val="000000"/>
          <w:sz w:val="20"/>
        </w:rPr>
        <w:t>Limited liability” means that the liability of each shareholder is limited to the amount unpaid by the shareholder on the shares of the company (except in exceptional circumstances, such as those involving fraud, the establishment of an agency relationship or an illegal or improper purpose, or other circumstances in which a court may be prepared to pierce or lift the corporate veil).</w:t>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21945"/>
                <wp:effectExtent l="0" t="0" r="0" b="0"/>
                <wp:wrapNone/>
                <wp:docPr id="188" name="Frame1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10.3</w:t>
      </w:r>
    </w:p>
    <w:p>
      <w:pPr>
        <w:pStyle w:val="TextBody"/>
        <w:bidi w:val="0"/>
        <w:spacing w:lineRule="auto" w:line="240"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INDEMNIFICATION AGREEMENT</w:t>
      </w:r>
    </w:p>
    <w:p>
      <w:pPr>
        <w:pStyle w:val="TextBody"/>
        <w:bidi w:val="0"/>
        <w:spacing w:lineRule="auto" w:line="240" w:before="0" w:after="240"/>
        <w:jc w:val="both"/>
        <w:rPr>
          <w:shd w:fill="FFFFFF" w:val="clear"/>
        </w:rPr>
      </w:pPr>
      <w:r>
        <w:rPr>
          <w:rFonts w:ascii="Times New Roman;sans-serif" w:hAnsi="Times New Roman;sans-serif"/>
          <w:b w:val="false"/>
          <w:color w:val="000000"/>
          <w:sz w:val="24"/>
          <w:shd w:fill="FFFFFF" w:val="clear"/>
        </w:rPr>
        <w:t>THIS INDEMNIFICATION AGREEMENT (the “</w:t>
      </w:r>
      <w:r>
        <w:rPr>
          <w:rFonts w:ascii="Times New Roman;sans-serif" w:hAnsi="Times New Roman;sans-serif"/>
          <w:b/>
          <w:color w:val="000000"/>
          <w:sz w:val="24"/>
          <w:shd w:fill="FFFFFF" w:val="clear"/>
        </w:rPr>
        <w:t>Agreement</w:t>
      </w:r>
      <w:r>
        <w:rPr>
          <w:color w:val="000000"/>
          <w:shd w:fill="FFFFFF" w:val="clear"/>
        </w:rPr>
        <w:t>”</w:t>
      </w:r>
      <w:r>
        <w:rPr>
          <w:rFonts w:ascii="Times New Roman;sans-serif" w:hAnsi="Times New Roman;sans-serif"/>
          <w:b w:val="false"/>
          <w:color w:val="000000"/>
          <w:sz w:val="24"/>
          <w:shd w:fill="FFFFFF" w:val="clear"/>
        </w:rPr>
        <w:t>) is made and entered into this ______________, 20</w:t>
      </w:r>
      <w:r>
        <w:rPr>
          <w:color w:val="000000"/>
          <w:u w:val="single"/>
          <w:shd w:fill="FFFFFF" w:val="clear"/>
        </w:rPr>
        <w:t xml:space="preserve"> </w:t>
      </w:r>
      <w:r>
        <w:rPr>
          <w:rFonts w:ascii="Times New Roman;sans-serif" w:hAnsi="Times New Roman;sans-serif"/>
          <w:b w:val="false"/>
          <w:color w:val="000000"/>
          <w:sz w:val="24"/>
          <w:shd w:fill="FFFFFF" w:val="clear"/>
        </w:rPr>
        <w:t>, between GigaCloud Technology Inc, a Cayman Islands company (the “</w:t>
      </w:r>
      <w:r>
        <w:rPr>
          <w:rFonts w:ascii="Times New Roman;sans-serif" w:hAnsi="Times New Roman;sans-serif"/>
          <w:b/>
          <w:color w:val="000000"/>
          <w:sz w:val="24"/>
          <w:shd w:fill="FFFFFF" w:val="clear"/>
        </w:rPr>
        <w:t>Company</w:t>
      </w:r>
      <w:r>
        <w:rPr>
          <w:color w:val="000000"/>
          <w:shd w:fill="FFFFFF" w:val="clear"/>
        </w:rPr>
        <w:t>”</w:t>
      </w:r>
      <w:r>
        <w:rPr>
          <w:rFonts w:ascii="Times New Roman;sans-serif" w:hAnsi="Times New Roman;sans-serif"/>
          <w:b w:val="false"/>
          <w:color w:val="000000"/>
          <w:sz w:val="24"/>
          <w:shd w:fill="FFFFFF" w:val="clear"/>
        </w:rPr>
        <w:t>), and ______________ (the “</w:t>
      </w:r>
      <w:r>
        <w:rPr>
          <w:rFonts w:ascii="Times New Roman;sans-serif" w:hAnsi="Times New Roman;sans-serif"/>
          <w:b/>
          <w:color w:val="000000"/>
          <w:sz w:val="24"/>
          <w:shd w:fill="FFFFFF" w:val="clear"/>
        </w:rPr>
        <w:t>Indemnitee</w:t>
      </w:r>
      <w:r>
        <w:rPr>
          <w:color w:val="000000"/>
          <w:shd w:fill="FFFFFF" w:val="clear"/>
        </w:rPr>
        <w:t>”</w:t>
      </w:r>
      <w:r>
        <w:rPr>
          <w:rFonts w:ascii="Times New Roman;sans-serif" w:hAnsi="Times New Roman;sans-serif"/>
          <w:b w:val="false"/>
          <w:color w:val="000000"/>
          <w:sz w:val="24"/>
          <w:shd w:fill="FFFFFF" w:val="clear"/>
        </w:rPr>
        <w:t xml:space="preserve">). </w:t>
      </w:r>
    </w:p>
    <w:p>
      <w:pPr>
        <w:pStyle w:val="TextBody"/>
        <w:bidi w:val="0"/>
        <w:spacing w:lineRule="auto" w:line="240"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Capitalized terms used without definition shall have the meanings assigned thereto in Section 21.</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A.The Company and the Indemnitee recognize the continued difficulty in obtaining liability insurance for corporate directors, officers, employees, controlling persons, agents and fiduciaries, the significant increases in the cost of such insurance and the general reductions in the coverage of such insurance. </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B.The Company and the Indemnitee further recognize the substantial increase in corporate litigation in general, subjecting directors, officers, employees, controlling persons, agents and fiduciaries to expensive litigation risks at the same time as the availability and coverage of liability insurance has been severely limited. </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C.The Indemnitee does not regard the current protection available for the Company’s directors, officers, employees, controlling persons, agents and fiduciaries as adequate under the present circumstances, and the Indemnitee and other directors, officers, employees, controlling persons, agents and fiduciaries of the Company may not be willing to serve or continue to serve in such capacities without additional protection. </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D.The Company: (i) desires to attract and retain the involvement of highly qualified individuals, such as the Indemnitee, to serve the Company and, in part, to induce the Indemnitee to be involved with the Company and (ii) wishes to provide for the indemnification and advancing of expenses to the Indemnitee to the maximum extent permitted by law. </w:t>
      </w:r>
    </w:p>
    <w:p>
      <w:pPr>
        <w:pStyle w:val="TextBody"/>
        <w:bidi w:val="0"/>
        <w:spacing w:lineRule="auto" w:line="240" w:before="0" w:after="240"/>
        <w:jc w:val="both"/>
        <w:rPr>
          <w:shd w:fill="FFFFFF" w:val="clear"/>
        </w:rPr>
      </w:pPr>
      <w:r>
        <w:rPr>
          <w:rFonts w:ascii="Times New Roman;sans-serif" w:hAnsi="Times New Roman;sans-serif"/>
          <w:b/>
          <w:color w:val="000000"/>
          <w:sz w:val="24"/>
          <w:shd w:fill="FFFFFF" w:val="clear"/>
        </w:rPr>
        <w:t>NOW, THEREFORE</w:t>
      </w:r>
      <w:r>
        <w:rPr>
          <w:rFonts w:ascii="Times New Roman;sans-serif" w:hAnsi="Times New Roman;sans-serif"/>
          <w:b w:val="false"/>
          <w:color w:val="000000"/>
          <w:sz w:val="24"/>
          <w:shd w:fill="FFFFFF" w:val="clear"/>
        </w:rPr>
        <w:t xml:space="preserve">, in consideration of the Indemnitee’s service to the Company, the parties hereto agree as follows: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1.</w:t>
      </w:r>
      <w:r>
        <w:rPr>
          <w:rFonts w:ascii="Times New Roman;sans-serif" w:hAnsi="Times New Roman;sans-serif"/>
          <w:b/>
          <w:color w:val="000000"/>
          <w:sz w:val="24"/>
          <w:u w:val="single"/>
          <w:shd w:fill="FFFFFF" w:val="clear"/>
        </w:rPr>
        <w:t xml:space="preserve">Indemnity of Indemnitee. </w:t>
      </w:r>
      <w:r>
        <w:rPr>
          <w:rFonts w:ascii="Times New Roman;sans-serif" w:hAnsi="Times New Roman;sans-serif"/>
          <w:b w:val="false"/>
          <w:color w:val="000000"/>
          <w:sz w:val="24"/>
          <w:shd w:fill="FFFFFF" w:val="clear"/>
        </w:rPr>
        <w:t>The Company hereby agrees to indemnify the Indemnitee to the fullest extent permitted by law, even if such indemnification is not specifically authorized by the other provisions of this Agreement, the Company’s Memorandum and Articles of Association (as amended or amended and restated from time to time, the “</w:t>
      </w:r>
      <w:r>
        <w:rPr>
          <w:rFonts w:ascii="Times New Roman;sans-serif" w:hAnsi="Times New Roman;sans-serif"/>
          <w:b/>
          <w:color w:val="000000"/>
          <w:sz w:val="24"/>
          <w:shd w:fill="FFFFFF" w:val="clear"/>
        </w:rPr>
        <w:t>Articles</w:t>
      </w:r>
      <w:r>
        <w:rPr>
          <w:color w:val="000000"/>
          <w:shd w:fill="FFFFFF" w:val="clear"/>
        </w:rPr>
        <w:t>”</w:t>
      </w:r>
      <w:r>
        <w:rPr>
          <w:rFonts w:ascii="Times New Roman;sans-serif" w:hAnsi="Times New Roman;sans-serif"/>
          <w:b w:val="false"/>
          <w:color w:val="000000"/>
          <w:sz w:val="24"/>
          <w:shd w:fill="FFFFFF" w:val="clear"/>
        </w:rPr>
        <w:t xml:space="preserve">) or by statute. In the event of any change after the date of this Agreement in any applicable law, statute or rule that expands the right of an exempted company of Cayman Islands to indemnify a member of its Board of Directors or an officer, employee, controlling person, agent or fiduciary, it is the intent of the parties hereto that the Indemnitee shall enjoy by this Agreement the greater benefits afforded by such change. In the event of any change in any applicable law, statute or rule that narrows the right of an exempted company of Cayman Islands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3 hereof.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2.</w:t>
      </w:r>
      <w:r>
        <w:rPr>
          <w:rFonts w:ascii="Times New Roman;sans-serif" w:hAnsi="Times New Roman;sans-serif"/>
          <w:b/>
          <w:color w:val="000000"/>
          <w:sz w:val="24"/>
          <w:u w:val="single"/>
          <w:shd w:fill="FFFFFF" w:val="clear"/>
        </w:rPr>
        <w:t xml:space="preserve">Additional Indemnity. </w:t>
      </w:r>
      <w:r>
        <w:rPr>
          <w:rFonts w:ascii="Times New Roman;sans-serif" w:hAnsi="Times New Roman;sans-serif"/>
          <w:b w:val="false"/>
          <w:color w:val="000000"/>
          <w:sz w:val="24"/>
          <w:shd w:fill="FFFFFF" w:val="clear"/>
        </w:rPr>
        <w:t xml:space="preserve">Subject only to the limitations set forth in Section 3 hereof, the Company hereby further agrees to hold harmless and indemnify the Indemnitee: </w:t>
      </w:r>
    </w:p>
    <w:p>
      <w:pPr>
        <w:pStyle w:val="TextBody"/>
        <w:bidi w:val="0"/>
        <w:spacing w:lineRule="auto" w:line="240" w:before="0" w:after="240"/>
        <w:ind w:left="0" w:right="0" w:hanging="720"/>
        <w:jc w:val="both"/>
        <w:rPr>
          <w:shd w:fill="FFFFFF" w:val="clear"/>
        </w:rPr>
      </w:pPr>
      <w:r>
        <w:rPr>
          <w:rFonts w:ascii="Times New Roman;sans-serif" w:hAnsi="Times New Roman;sans-serif"/>
          <w:b w:val="false"/>
          <w:color w:val="000000"/>
          <w:sz w:val="24"/>
          <w:shd w:fill="FFFFFF" w:val="clear"/>
        </w:rPr>
        <w:t>(a).against any and all direct and indirect costs (“</w:t>
      </w:r>
      <w:r>
        <w:rPr>
          <w:rFonts w:ascii="Times New Roman;sans-serif" w:hAnsi="Times New Roman;sans-serif"/>
          <w:b/>
          <w:color w:val="000000"/>
          <w:sz w:val="24"/>
          <w:shd w:fill="FFFFFF" w:val="clear"/>
        </w:rPr>
        <w:t>expenses</w:t>
      </w:r>
      <w:r>
        <w:rPr>
          <w:color w:val="000000"/>
          <w:shd w:fill="FFFFFF" w:val="clear"/>
        </w:rPr>
        <w:t>”</w:t>
      </w:r>
      <w:r>
        <w:rPr>
          <w:rFonts w:ascii="Times New Roman;sans-serif" w:hAnsi="Times New Roman;sans-serif"/>
          <w:b w:val="false"/>
          <w:color w:val="000000"/>
          <w:sz w:val="24"/>
          <w:shd w:fill="FFFFFF" w:val="clear"/>
        </w:rPr>
        <w:t xml:space="preserve">), including attorneys’ fees, witness fees, retainers, court costs, transcript costs, fees of experts, travel expenses, duplicating and printing costs, telephone charges, delivery service and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9"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240"/>
        <w:jc w:val="both"/>
        <w:rPr>
          <w:shd w:fill="FFFFFF" w:val="clear"/>
        </w:rPr>
      </w:pPr>
      <w:r>
        <w:rPr>
          <w:rFonts w:ascii="Times New Roman;sans-serif" w:hAnsi="Times New Roman;sans-serif"/>
          <w:b w:val="false"/>
          <w:color w:val="000000"/>
          <w:sz w:val="24"/>
          <w:shd w:fill="FFFFFF" w:val="clear"/>
        </w:rPr>
        <w:t>postage fees and all other disbursements and expenses, judgments, fines, excise taxes, penalties and amounts paid in settlement actually and reasonably incurred by the Indemnitee in connection with any threatened, pending or completed action, claim, suit, arbitration, alternative dispute resolution mechanism, investigation or any other proceeding, whether civil, criminal, administrative or investigative (including any appeal therefrom, an action by or in the right of the Company and preparing to prosecute or defend, investigating, being or preparing to be a witness in, or otherwise participating) (collectively, a “</w:t>
      </w:r>
      <w:r>
        <w:rPr>
          <w:rFonts w:ascii="Times New Roman;sans-serif" w:hAnsi="Times New Roman;sans-serif"/>
          <w:b/>
          <w:color w:val="000000"/>
          <w:sz w:val="24"/>
          <w:shd w:fill="FFFFFF" w:val="clear"/>
        </w:rPr>
        <w:t>Proceeding</w:t>
      </w:r>
      <w:r>
        <w:rPr>
          <w:color w:val="000000"/>
          <w:shd w:fill="FFFFFF" w:val="clear"/>
        </w:rPr>
        <w:t>”</w:t>
      </w:r>
      <w:r>
        <w:rPr>
          <w:rFonts w:ascii="Times New Roman;sans-serif" w:hAnsi="Times New Roman;sans-serif"/>
          <w:b w:val="false"/>
          <w:color w:val="000000"/>
          <w:sz w:val="24"/>
          <w:shd w:fill="FFFFFF" w:val="clear"/>
        </w:rPr>
        <w:t>) to which the Indemnitee is, was or at any time becomes a party, or is threatened to be made a party, by reason of the fact that the Indemnitee is, was or at any time becomes a director, officer, employee or agent of the Company, or is or was serving or at any time serves at the request of the Company as a director, officer, employee or agent of another corporation, partnership, joint venture, trust, employee benefit plan or other enterprise (such status, “</w:t>
      </w:r>
      <w:r>
        <w:rPr>
          <w:rFonts w:ascii="Times New Roman;sans-serif" w:hAnsi="Times New Roman;sans-serif"/>
          <w:b/>
          <w:color w:val="000000"/>
          <w:sz w:val="24"/>
          <w:shd w:fill="FFFFFF" w:val="clear"/>
        </w:rPr>
        <w:t>Corporate Status</w:t>
      </w:r>
      <w:r>
        <w:rPr>
          <w:color w:val="000000"/>
          <w:shd w:fill="FFFFFF" w:val="clear"/>
        </w:rPr>
        <w:t>”</w:t>
      </w:r>
      <w:r>
        <w:rPr>
          <w:rFonts w:ascii="Times New Roman;sans-serif" w:hAnsi="Times New Roman;sans-serif"/>
          <w:b w:val="false"/>
          <w:color w:val="000000"/>
          <w:sz w:val="24"/>
          <w:shd w:fill="FFFFFF" w:val="clear"/>
        </w:rPr>
        <w:t xml:space="preserve">); </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(b).against any and all expenses in connection with any inquiry or investigation that Indemnitee in good faith believes might lead to the institution of a Proceeding in which Indemnitee was, is or will be involved as a party, potential party, non-party witness or otherwise by reason of any Corporate Status of Indemnitee, or by reason of any action taken (or failure to act) by him or her or of any action (or failure to act) on his or her part while serving in any Corporate Status;</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(c).against any and all expenses establishing or enforcing a right to indemnification under this Agreement, the Articles, applicable law or otherwise; and </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(d).otherwise to the fullest extent as may be provided to the Indemnitee by the Company under the Company’s Articles and the Companies Act of the Cayman Islands (as amended from time to time).</w:t>
      </w:r>
    </w:p>
    <w:p>
      <w:pPr>
        <w:pStyle w:val="TextBody"/>
        <w:bidi w:val="0"/>
        <w:spacing w:lineRule="auto" w:line="240"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Notwithstanding any other provisions of this Agreement, to the fullest extent permitted by applicable law,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3.</w:t>
      </w:r>
      <w:r>
        <w:rPr>
          <w:rFonts w:ascii="Times New Roman;sans-serif" w:hAnsi="Times New Roman;sans-serif"/>
          <w:b/>
          <w:color w:val="000000"/>
          <w:sz w:val="24"/>
          <w:u w:val="single"/>
          <w:shd w:fill="FFFFFF" w:val="clear"/>
        </w:rPr>
        <w:t xml:space="preserve">Limitations on Additional Indemnity. </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(a).No indemnity pursuant to Section 2 hereof shall be paid by the Company for any of the following: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(i).except to the extent the aggregate of losses to be indemnified thereunder exceeds the sum of such losses for which the Indemnitee has actually received payment pursuant to Section 1 hereof or pursuant to any </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0"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Directors’ and Officers’ Insurance purchased and maintained by the Company;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(ii).in respect to remuneration paid to the Indemnitee if it shall be determined by a final judgment or other final adjudication that such remuneration was in violation of law; </w:t>
      </w:r>
    </w:p>
    <w:p>
      <w:pPr>
        <w:pStyle w:val="TextBody"/>
        <w:bidi w:val="0"/>
        <w:spacing w:lineRule="auto" w:line="240" w:before="0" w:after="120"/>
        <w:ind w:left="0" w:right="0" w:hanging="720"/>
        <w:jc w:val="both"/>
        <w:rPr>
          <w:shd w:fill="FFFFFF" w:val="clear"/>
        </w:rPr>
      </w:pPr>
      <w:r>
        <w:rPr>
          <w:rFonts w:ascii="Times New Roman;sans-serif" w:hAnsi="Times New Roman;sans-serif"/>
          <w:b w:val="false"/>
          <w:color w:val="000000"/>
          <w:sz w:val="24"/>
          <w:shd w:fill="FFFFFF" w:val="clear"/>
        </w:rPr>
        <w:t>(iii).on account of any Proceeding in which final judgment is rendered against the Indemnitee for an accounting of profits made from the purchase or sale by the Indemnitee of securities of the Company pursuant to the provisions of Section 16(b) of the Securities Exchange Act of 1934 and amendments thereto (the “</w:t>
      </w:r>
      <w:r>
        <w:rPr>
          <w:rFonts w:ascii="Times New Roman;sans-serif" w:hAnsi="Times New Roman;sans-serif"/>
          <w:b/>
          <w:color w:val="000000"/>
          <w:sz w:val="24"/>
          <w:shd w:fill="FFFFFF" w:val="clear"/>
        </w:rPr>
        <w:t>Exchange Act</w:t>
      </w:r>
      <w:r>
        <w:rPr>
          <w:color w:val="000000"/>
          <w:shd w:fill="FFFFFF" w:val="clear"/>
        </w:rPr>
        <w:t>”</w:t>
      </w:r>
      <w:r>
        <w:rPr>
          <w:rFonts w:ascii="Times New Roman;sans-serif" w:hAnsi="Times New Roman;sans-serif"/>
          <w:b w:val="false"/>
          <w:color w:val="000000"/>
          <w:sz w:val="24"/>
          <w:shd w:fill="FFFFFF" w:val="clear"/>
        </w:rPr>
        <w:t xml:space="preserve">) or similar provisions of any federal, state or local statutory law;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(iv).prior to a Change of Control, on account of any Proceeding to the extent that the Indemnitee is a plaintiff, a counter-complainant or a cross-complainant therein (other than an action pursuant to Section 8 or other Proceeding to enforce this Agreement or other indemnification rights under the Articles or applicable law or any mandatory counterclaim or cross claim brought or raised by Indemnitee in any Proceeding) unless such Proceeding was authorized in the specific case by action of the Board of Directors; or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(v).if a final judgment by a Court having jurisdiction in the matter shall determine that such indemnification is not lawful (and, in this respect, both the Company and the Indemnitee have been advised that the United States Securities and Exchange Commission believes that indemnification for liabilities arising under the federal securities laws is against public policy and is, therefore, unenforceable and that claims for indemnification should be submitted to appropriate courts for adjudication). </w:t>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(b).In addition to those limitations set forth above in paragraph (a) of this Section 3, no indemnity pursuant to Section 2 hereof in an action by or in the right of the Company shall be paid by the Company for any of the following: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(i).in respect of any claim, issue or matter as to which the Indemnitee shall have been adjudged in a final judgment to be liable to the Company for willful misconduct in the performance of the Indemnitee’s duty to the Company and its shareholders, unless and only to the extent that the court in which such Proceeding is or was pending shall determine upon application that, in view of all the circumstances of the case, the Indemnitee is fairly and reasonably entitled to indemnity for expenses and then only to the extent that the court shall determine;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(ii).on account of the Indemnitee’s acts or omissions that involve intentional misconduct or a knowing and culpable violation of law; or</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(iii).with respect to any transaction from which the Indemnitee derived an improper personal benefit.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4.</w:t>
      </w:r>
      <w:r>
        <w:rPr>
          <w:rFonts w:ascii="Times New Roman;sans-serif" w:hAnsi="Times New Roman;sans-serif"/>
          <w:b/>
          <w:color w:val="000000"/>
          <w:sz w:val="24"/>
          <w:u w:val="single"/>
          <w:shd w:fill="FFFFFF" w:val="clear"/>
        </w:rPr>
        <w:t xml:space="preserve">Contribution. </w:t>
      </w:r>
      <w:r>
        <w:rPr>
          <w:rFonts w:ascii="Times New Roman;sans-serif" w:hAnsi="Times New Roman;sans-serif"/>
          <w:b w:val="false"/>
          <w:color w:val="000000"/>
          <w:sz w:val="24"/>
          <w:shd w:fill="FFFFFF" w:val="clear"/>
        </w:rPr>
        <w:t xml:space="preserve">If the indemnification provided in Sections 1 and 2 hereof is unavailable by reason of a court decision described in Section 3(a)(v) hereof based on grounds other than any of those set forth in Sections 3(a)(ii) through (iv) hereof or in Section 3(b) hereof, then in respect of any threatened, pending or completed action, suit or proceeding in which the Company is jointly liable with the Indemnitee (or would be if joined in such action, suit or proceeding), the Company shall contribute to the amount of expenses (including attorneys’ fees), judgments, fines and amounts paid in settlement actually and reasonably incurred and paid or payable by the Indemnitee in such proportion as is appropriate to reflect: (i) the relative benefits received by the Company on the one hand and the Indemnitee on the other hand from the transaction from which such action, suit or </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1"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proceeding arose and (ii) the relative fault of the Company on the one hand and of the Indemnitee on the other in connection with the events that resulted in such expenses, judgments, fines or settlement amounts, as well as any other relevant equitable considerations. The relative fault of the Company on the one hand and of the Indemnitee on the other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4 were determined by pro rata allocation or any other method of allocation that does not take account of the foregoing equitable considerations.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5.</w:t>
      </w:r>
      <w:r>
        <w:rPr>
          <w:rFonts w:ascii="Times New Roman;sans-serif" w:hAnsi="Times New Roman;sans-serif"/>
          <w:b/>
          <w:color w:val="000000"/>
          <w:sz w:val="24"/>
          <w:u w:val="single"/>
          <w:shd w:fill="FFFFFF" w:val="clear"/>
        </w:rPr>
        <w:t>Continuation of Obligations</w:t>
      </w:r>
      <w:r>
        <w:rPr>
          <w:rFonts w:ascii="Times New Roman;sans-serif" w:hAnsi="Times New Roman;sans-serif"/>
          <w:b w:val="false"/>
          <w:color w:val="000000"/>
          <w:sz w:val="24"/>
          <w:shd w:fill="FFFFFF" w:val="clear"/>
        </w:rPr>
        <w:t xml:space="preserve">. All agreements and obligations of the Company contained herein shall continue during the period the Indemnitee is a director, officer, employee or agent of the Company (or is or was serving at the request of the Company as a director, officer employee or agent of another corporation, partnership, joint venture, trust, employee benefit plan or other enterprise) and shall continue thereafter so long as the Indemnitee shall be subject to any possible claim or threatened, pending or completed action, suit or proceeding, whether civil, criminal or investigative, by reason of the fact that the Indemnitee was an officer or director of the Company or serving in any other capacity referred to herein, including the Indemnitee’s Corporate Status.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6.</w:t>
      </w:r>
      <w:r>
        <w:rPr>
          <w:rFonts w:ascii="Times New Roman;sans-serif" w:hAnsi="Times New Roman;sans-serif"/>
          <w:b/>
          <w:color w:val="000000"/>
          <w:sz w:val="24"/>
          <w:u w:val="single"/>
          <w:shd w:fill="FFFFFF" w:val="clear"/>
        </w:rPr>
        <w:t>Notification and Defense of Claim</w:t>
      </w:r>
      <w:r>
        <w:rPr>
          <w:rFonts w:ascii="Times New Roman;sans-serif" w:hAnsi="Times New Roman;sans-serif"/>
          <w:b w:val="false"/>
          <w:color w:val="000000"/>
          <w:sz w:val="24"/>
          <w:shd w:fill="FFFFFF" w:val="clear"/>
        </w:rPr>
        <w:t xml:space="preserve">. Not later than thirty (30) days after receipt by the Indemnitee of notice of the commencement of any action, suit or proceeding, the Indemnitee will, if a claim in respect thereof is to be made against the Company under this Agreement, notify the Company of the commencement thereof; but the omission to so notify the Company will not relieve it from any liability that it may have to the Indemnitee otherwise than under this Agreement. With respect to any such action, suit or proceeding as to which the Indemnitee notifies the Company of the commencement thereof: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(a).the Company will be entitled to participate therein at its own expense;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(b).except as otherwise provided below, to the extent that it may wish, the Company jointly with any other indemnifying party similarly notified will be entitled to assume the defense thereof, with counsel reasonably satisfactory to the Indemnitee. After notice from the Company to the Indemnitee of its election to assume the defense thereof, the Company will not be liable to the Indemnitee under this Agreement for any legal or other expenses subsequently incurred by the Indemnitee in connection with the defense thereof other than reasonable costs of investigation or as otherwise provided below. The Indemnitee shall have the right to employ its counsel in such action, suit or proceeding but the fees and expenses of such counsel incurred after notice from the Company of its assumption of the defense thereof shall be at the expense of the Indemnitee unless: (i) the employment of counsel by the Indemnitee has been authorized by the Company; (ii) Indemnitee shall have reasonably concluded that there may be a conflict of interest between the Company and the Indemnitee in the conduct of the defense of such action; or (iii) the Company shall not in fact have employed counsel to assume the defense of such action, in each of which cases the fees and expenses of the Indemnitee’s separate counsel shall be at the expense of the Company. The Company shall not be entitled to assume the defense of any action, suit or proceeding brought by or on behalf of the Company or as to which the Indemnitee shall have made the conclusion provided for in (ii) above; and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(c).The Company shall not be liable to indemnify the Indemnitee under this Agreement for any amounts paid in settlement of any action or claim effected without its written consent. The Company shall not settle any action or claim in any manner that would impose any judgment, fine, penalty, expense or limitation </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2"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on the Indemnitee without the Indemnitee’s written consent. Neither the Company nor the Indemnitee will unreasonably withhold its consent to any proposed settlement.</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7.</w:t>
      </w:r>
      <w:r>
        <w:rPr>
          <w:rFonts w:ascii="Times New Roman;sans-serif" w:hAnsi="Times New Roman;sans-serif"/>
          <w:b/>
          <w:color w:val="000000"/>
          <w:sz w:val="24"/>
          <w:u w:val="single"/>
          <w:shd w:fill="FFFFFF" w:val="clear"/>
        </w:rPr>
        <w:t>Advancement and Repayment of Expenses</w:t>
      </w:r>
      <w:r>
        <w:rPr>
          <w:rFonts w:ascii="Times New Roman;sans-serif" w:hAnsi="Times New Roman;sans-serif"/>
          <w:b w:val="false"/>
          <w:color w:val="000000"/>
          <w:sz w:val="24"/>
          <w:shd w:fill="FFFFFF" w:val="clear"/>
        </w:rPr>
        <w:t xml:space="preserve">. Notwithstanding any provision of this Agreement to the contrary, the Company shall advance to the Indemnitee, prior to any final disposition of any threatened or pending Proceeding, any and all reasonable expenses (including legal fees and expenses) incurred in investigating or defending any such action, suit or proceeding within ten business days after receiving copies of invoices presented to the Indemnitee for such expenses.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(a).Advances shall be made without regard to Indemnitee’s ability to repay such amounts and without regard to Indemnitee’s ultimate entitlement to indemnification under the other provisions of this Agreement. Advances shall include any and all reasonable expenses incurred pursuing an action to enforce this right of advancement, including expenses incurred preparing and forwarding statements in writing to the Company to support the advances claimed. Any excess of the advanced expenses over the actual expenses will be promptly repaid to the Company. To the extent Indemnitee has not requested any advanced payment of expenses from the Company, Indemnitee shall be entitled to receive reimbursement for the expenses incurred in connection with a Proceeding from the Company as soon as practicable after Indemnitee makes a written request to the Company for reimbursement.</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(b).The Indemnitee agrees that the Indemnitee will reimburse the Company for all reasonable expenses paid by the Company in defending any Proceeding in the event and only to the extent it shall be ultimately determined by a final judicial decision (from which there is no right of appeal) that the Indemnitee is not entitled, under applicable law, the Company’s Bylaws, this Agreement or otherwise, to be indemnified by the Company for such expenses.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(c).Notwithstanding the foregoing, the Company shall not be required to advance such expenses to the Indemnitee for any claim for which indemnity is excluded under Section 3.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8.</w:t>
      </w:r>
      <w:r>
        <w:rPr>
          <w:rFonts w:ascii="Times New Roman;sans-serif" w:hAnsi="Times New Roman;sans-serif"/>
          <w:b/>
          <w:color w:val="000000"/>
          <w:sz w:val="24"/>
          <w:u w:val="single"/>
          <w:shd w:fill="FFFFFF" w:val="clear"/>
        </w:rPr>
        <w:t>Remedies</w:t>
      </w:r>
      <w:r>
        <w:rPr>
          <w:rFonts w:ascii="Times New Roman;sans-serif" w:hAnsi="Times New Roman;sans-serif"/>
          <w:b w:val="false"/>
          <w:color w:val="000000"/>
          <w:sz w:val="24"/>
          <w:u w:val="single"/>
          <w:shd w:fill="FFFFFF" w:val="clear"/>
        </w:rPr>
        <w:t xml:space="preserve">. </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(a).In the event of any dispute between Indemnitee and the Company hereunder as to entitlement to indemnification or advancement of expenses (including where (i) a determination is made pursuant to Section 9 of this Agreement that Indemnitee is not entitled to indemnification under this Agreement, (ii) advancement of expenses is not timely made pursuant to Section 7 of this Agreement, (iii) payment of indemnification pursuant to Sections 1 or 2 this Agreement is not made within ten business days after a determination has been made that Indemnitee is entitled to indemnification, (iv) no determination as to entitlement to indemnification is timely made pursuant to Section 9 of this Agreement and no payment of indemnification is made within ten business days after entitlement is deemed to have been determined pursuant to Section 9 or (v) a contribution payment is not made in a timely manner pursuant to Section 4 of this Agreement, then Indemnitee shall be entitled to an adjudication by an appropriate court of the State of California, or in any other court of competent jurisdiction, of his or her entitlement to such indemnification, contribution or advancement. Alternatively, in such case, Indemnitee, at his or her option, may seek an award in arbitration to be conducted by a single arbitrator pursuant to the Commercial Arbitration Rules of the American Arbitration Association.</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(b).In the event that a determination shall have been made pursuant to Section 9 of this Agreement that Indemnitee is not entitled to indemnification, any judicial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3"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proceeding or arbitration commenced pursuant to this Section 8 shall be conducted in all respects as a de novo trial, or arbitration, on the merits, and Indemnitee shall not be prejudiced by reason of that adverse determination. In any judicial proceeding or arbitration commenced pursuant to this Section 8 the Company shall have the burden of proving Indemnitee is not entitled to indemnification or advancement of expenses, as the case may be, and the Company may not refer to or introduce into evidence any determination pursuant to Section 9 of this Agreement adverse to Indemnitee for any purpose. If Indemnitee commences a judicial proceeding or arbitration pursuant to this Section 8, Indemnitee shall not be required to reimburse the Company for any advances pursuant to Section 7(b) until a final determination is made with respect to Indemnitee’s entitlement to indemnification (as to which all rights of appeal have been exhausted or lapsed).</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(c).If a determination shall have been made pursuant to Section 9 of this Agreement that Indemnitee is entitled to indemnification, the Company shall be bound by such determination in any judicial proceeding or arbitration commenced pursuant to this Section 8,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(d).The Company shall be precluded from asserting in any judicial proceeding or arbitration commenced pursuant to this Section 8 that the procedures and presumptions of this Agreement are not valid, binding and enforceable and shall stipulate in any such court or before any such arbitrator that the Company is bound by all the provisions of this Agreement.</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(e).The Company shall indemnify Indemnitee to the fullest extent permitted by law against all expenses and, if requested by Indemnitee in writing, shall advance such expenses to Indemnitee, which are reasonably incurred by Indemnitee in connection with any judicial proceeding or arbitration brought by Indemnitee for (i) indemnification or advances of expenses by the Company (or otherwise for the enforcement, interpretation or defense of his or her rights) under this Agreement or any other agreement, including any other indemnification, contribution or advancement agreement, or any provision of the Articles now or hereafter in effect or (ii) recovery or advances under any directors’ and officers’ liability insurance policy maintained by the Company, regardless of whether Indemnitee ultimately is determined to be entitled to such indemnification, contribution, advancement or insurance recovery, as the case may be.</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9.</w:t>
      </w:r>
      <w:r>
        <w:rPr>
          <w:rFonts w:ascii="Times New Roman;sans-serif" w:hAnsi="Times New Roman;sans-serif"/>
          <w:b/>
          <w:color w:val="000000"/>
          <w:sz w:val="24"/>
          <w:u w:val="single"/>
          <w:shd w:fill="FFFFFF" w:val="clear"/>
        </w:rPr>
        <w:t xml:space="preserve">Determination of Right to Indemnification. </w:t>
      </w:r>
    </w:p>
    <w:p>
      <w:pPr>
        <w:pStyle w:val="TextBody"/>
        <w:bidi w:val="0"/>
        <w:spacing w:lineRule="auto" w:line="240" w:before="0" w:after="120"/>
        <w:ind w:left="0" w:right="0" w:hanging="720"/>
        <w:jc w:val="both"/>
        <w:rPr>
          <w:shd w:fill="FFFFFF" w:val="clear"/>
        </w:rPr>
      </w:pPr>
      <w:r>
        <w:rPr>
          <w:rFonts w:ascii="Times New Roman;sans-serif" w:hAnsi="Times New Roman;sans-serif"/>
          <w:b w:val="false"/>
          <w:color w:val="000000"/>
          <w:sz w:val="24"/>
          <w:shd w:fill="FFFFFF" w:val="clear"/>
        </w:rPr>
        <w:t>(a).The Indemnitee shall be conclusively presumed to have met the relevant standards of conduct, if any, as defined by applicable law, for indemnification pursuant to this Agreement and shall be absolutely entitled to such indemnification, unless a determination is made that the Indemnitee has not met such standards: (i) if a Change of Control shall not have occurred, (A) by a majority vote of the Disinterested Directors, even though less than a quorum of the Board of Directors of the Company (the “</w:t>
      </w:r>
      <w:r>
        <w:rPr>
          <w:rFonts w:ascii="Times New Roman;sans-serif" w:hAnsi="Times New Roman;sans-serif"/>
          <w:b/>
          <w:color w:val="000000"/>
          <w:sz w:val="24"/>
          <w:shd w:fill="FFFFFF" w:val="clear"/>
        </w:rPr>
        <w:t>Board of Directors</w:t>
      </w:r>
      <w:r>
        <w:rPr>
          <w:color w:val="000000"/>
          <w:shd w:fill="FFFFFF" w:val="clear"/>
        </w:rPr>
        <w:t>”</w:t>
      </w:r>
      <w:r>
        <w:rPr>
          <w:rFonts w:ascii="Times New Roman;sans-serif" w:hAnsi="Times New Roman;sans-serif"/>
          <w:b w:val="false"/>
          <w:color w:val="000000"/>
          <w:sz w:val="24"/>
          <w:shd w:fill="FFFFFF" w:val="clear"/>
        </w:rPr>
        <w:t xml:space="preserve">), (B) by a committee of Disinterested Directors designated by a majority vote of the Disinterested Directors, even though less than a quorum of the Board of Directors or (C) if there are no such Disinterested Directors or, if such Disinterested Directors so direct, by Independent Counsel in a written opinion to the Board of Directors, a copy of which shall be delivered to Indemnitee; or (ii) if a Change of Control shall have occurred, by Independent Counsel in a written opinion to the Board of Directors, a copy of which shall be delivered to Indemnitee. If entitlement to indemnification is to be determined by Independent Counsel pursuant to clause (ii) above, such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4"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Independent Counsel shall be selected by Indemnitee, and Indemnitee shall give written notice to the Company advising it of the identity of the Independent Counsel so selected. If entitlement to indemnification is to be determined by Independent Counsel pursuant to clause (i)(C) above, (or if Indemnitee requests that such selection be made by the Board of Directors), such Independent Counsel shall be selected by the Company in which case the Company shall give written notice to Indemnitee advising him or her of the identity of the Independent Counsel so selected. In either event, Indemnitee or the Company, as the case may be, may, within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21 of this Agreement, and the objection shall set forth with particularity the factual basis of such assertion. Absent a proper and timely objection, the person so selected shall act as Independent Counsel. The Company agrees to pay the reasonable fees and expenses of any Independent Counsel serving under this Agreement.</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(b).In making any determination with respect to entitlement to indemnification hereunder, the person or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in connection with the making by any person, persons or entity of any determination contrary to that presumption. Neither the failure of any person, persons or entity to have made a determination prior to the commencement of any action pursuant to this Agreement that indemnification is proper in the circumstances because Indemnitee has met the applicable standard of conduct, nor an actual determination by any person, persons or entity that Indemnitee has not met such applicable standard of conduct, shall be a defense to the action or create a presumption that Indemnitee has not met the applicable standard of conduct. If no determination as to whether Indemnitee is entitled to indemnification after sixty (60) calendar days after a written request by Indemnitee for indemnification,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lineRule="auto" w:line="240" w:before="0" w:after="12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or her conduct was unlawful. For purposes of any determination of good faith, Indemnitee shall be deemed to have acted in good faith if Indemnitee’s action is in good faith reliance on the records or books of account of the Company or other enterprise, including financial statements, or on information supplied to Indemnitee by the officers of the Company or other enterprise in the course of their duties, or on the advice of legal counsel for the Company or other enterprise or on information or records given or reports made by an independent certified public accountant or by an appraiser or other expert selected by the Company or other enterprise. The provisions of this Section 9(c) shall not be </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5"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deemed to be exclusive or to limit in any way the other circumstances in which Indemnitee may be deemed or found to have met the applicable standard of conduct set forth in this Agreement. The knowledge and/or actions, or failure to act, of any other director, trustee, partner, managing member, fiduciary, officer, agent or employee of any enterprise shall not be imputed to Indemnitee for purposes of determining any right to indemnification under this Agreement. </w:t>
      </w:r>
    </w:p>
    <w:p>
      <w:pPr>
        <w:pStyle w:val="TextBody"/>
        <w:bidi w:val="0"/>
        <w:spacing w:before="0" w:after="0"/>
        <w:jc w:val="both"/>
        <w:rPr/>
      </w:pPr>
      <w:r>
        <w:rPr/>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10.</w:t>
      </w:r>
      <w:r>
        <w:rPr>
          <w:rFonts w:ascii="Times New Roman;sans-serif" w:hAnsi="Times New Roman;sans-serif"/>
          <w:b/>
          <w:color w:val="000000"/>
          <w:sz w:val="24"/>
          <w:u w:val="single"/>
          <w:shd w:fill="FFFFFF" w:val="clear"/>
        </w:rPr>
        <w:t>Subrogation</w:t>
      </w:r>
      <w:r>
        <w:rPr>
          <w:rFonts w:ascii="Times New Roman;sans-serif" w:hAnsi="Times New Roman;sans-serif"/>
          <w:b w:val="false"/>
          <w:color w:val="000000"/>
          <w:sz w:val="24"/>
          <w:shd w:fill="FFFFFF" w:val="clear"/>
        </w:rPr>
        <w:t xml:space="preserve">. In the event of payment under this Agreement, the Company shall be subrogated to the extent of such payment to all of the rights of recovery of the Indemnitee who shall execute all documents required and shall do all acts that may be necessary to secure such rights and to enable the Company effectively to bring suit to enforce such rights. </w:t>
      </w:r>
    </w:p>
    <w:p>
      <w:pPr>
        <w:pStyle w:val="TextBody"/>
        <w:bidi w:val="0"/>
        <w:spacing w:lineRule="auto" w:line="240" w:before="0" w:after="0"/>
        <w:ind w:left="0" w:right="0" w:hanging="720"/>
        <w:jc w:val="both"/>
        <w:rPr>
          <w:shd w:fill="FFFFFF" w:val="clear"/>
        </w:rPr>
      </w:pPr>
      <w:r>
        <w:rPr>
          <w:rFonts w:ascii="Times New Roman;sans-serif" w:hAnsi="Times New Roman;sans-serif"/>
          <w:b/>
          <w:color w:val="000000"/>
          <w:sz w:val="24"/>
          <w:shd w:fill="FFFFFF" w:val="clear"/>
        </w:rPr>
        <w:t>11.</w:t>
      </w:r>
      <w:r>
        <w:rPr>
          <w:rFonts w:ascii="Times New Roman;sans-serif" w:hAnsi="Times New Roman;sans-serif"/>
          <w:b/>
          <w:color w:val="000000"/>
          <w:sz w:val="24"/>
          <w:u w:val="single"/>
          <w:shd w:fill="FFFFFF" w:val="clear"/>
        </w:rPr>
        <w:t>Non-Exclusivity of Rights</w:t>
      </w:r>
      <w:r>
        <w:rPr>
          <w:rFonts w:ascii="Times New Roman;sans-serif" w:hAnsi="Times New Roman;sans-serif"/>
          <w:b w:val="false"/>
          <w:color w:val="000000"/>
          <w:sz w:val="24"/>
          <w:shd w:fill="FFFFFF" w:val="clear"/>
        </w:rPr>
        <w:t>. The rights conferred on the Indemnitee by this Agreement shall not be exclusive of any other right that the Indemnitee may have or hereafter acquire under any statute, provision of the Articles, agreement, vote of shareholders or directors, or otherwise, both as to action in an official capacity and as to action in another capacity while holding office.</w:t>
      </w:r>
    </w:p>
    <w:p>
      <w:pPr>
        <w:pStyle w:val="TextBody"/>
        <w:bidi w:val="0"/>
        <w:spacing w:before="0" w:after="240"/>
        <w:jc w:val="both"/>
        <w:rPr/>
      </w:pPr>
      <w:r>
        <w:rPr/>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12.</w:t>
      </w:r>
      <w:r>
        <w:rPr>
          <w:rFonts w:ascii="Times New Roman;sans-serif" w:hAnsi="Times New Roman;sans-serif"/>
          <w:b/>
          <w:color w:val="000000"/>
          <w:sz w:val="24"/>
          <w:u w:val="single"/>
          <w:shd w:fill="FFFFFF" w:val="clear"/>
        </w:rPr>
        <w:t>Survival of Rights</w:t>
      </w:r>
      <w:r>
        <w:rPr>
          <w:rFonts w:ascii="Times New Roman;sans-serif" w:hAnsi="Times New Roman;sans-serif"/>
          <w:b w:val="false"/>
          <w:color w:val="000000"/>
          <w:sz w:val="24"/>
          <w:u w:val="single"/>
          <w:shd w:fill="FFFFFF" w:val="clear"/>
        </w:rPr>
        <w:t xml:space="preserve">. </w:t>
      </w:r>
      <w:r>
        <w:rPr>
          <w:rFonts w:ascii="Times New Roman;sans-serif" w:hAnsi="Times New Roman;sans-serif"/>
          <w:b w:val="false"/>
          <w:color w:val="000000"/>
          <w:sz w:val="24"/>
          <w:shd w:fill="FFFFFF" w:val="clear"/>
        </w:rPr>
        <w:t xml:space="preserve">The rights conferred on the Indemnitee by this Agreement shall continue after the Indemnitee has ceased to be a director, officer, employee or other agent of the Company and shall inure to the benefit of the Indemnitee’s heirs, executors and administrators.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13.</w:t>
      </w:r>
      <w:r>
        <w:rPr>
          <w:rFonts w:ascii="Times New Roman;sans-serif" w:hAnsi="Times New Roman;sans-serif"/>
          <w:b/>
          <w:color w:val="000000"/>
          <w:sz w:val="24"/>
          <w:u w:val="single"/>
          <w:shd w:fill="FFFFFF" w:val="clear"/>
        </w:rPr>
        <w:t>Notice</w:t>
      </w:r>
      <w:r>
        <w:rPr>
          <w:rFonts w:ascii="Times New Roman;sans-serif" w:hAnsi="Times New Roman;sans-serif"/>
          <w:b w:val="false"/>
          <w:color w:val="000000"/>
          <w:sz w:val="24"/>
          <w:shd w:fill="FFFFFF" w:val="clear"/>
        </w:rPr>
        <w:t>. All notices, requests, demands and other communications under this Agreement shall be in writing (which may be by e-mail).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The address for notice to a party is as shown on the signature page of this Agreement, or such other address as any party shall have given by written notice to the other party as provided above, and shall be addressed if to the Indemnitee, at Indemnitee’s address as set forth beneath the Indemnitee’s signature to this Agreement and if to the Company at the address of its principal corporate offices (attention: Chief Executive Officer) or at such other address as such party may designate by ten (10) calendar days’ advance written notice to the other party hereto.</w:t>
      </w:r>
      <w:r>
        <w:rPr>
          <w:color w:val="000000"/>
          <w:u w:val="single"/>
          <w:shd w:fill="FFFFFF" w:val="clear"/>
        </w:rPr>
        <w:t xml:space="preserve"> </w:t>
      </w:r>
    </w:p>
    <w:p>
      <w:pPr>
        <w:pStyle w:val="TextBody"/>
        <w:bidi w:val="0"/>
        <w:spacing w:lineRule="auto" w:line="240" w:before="0" w:after="240"/>
        <w:ind w:left="0" w:right="0" w:hanging="720"/>
        <w:jc w:val="both"/>
        <w:rPr>
          <w:shd w:fill="FFFFFF" w:val="clear"/>
        </w:rPr>
      </w:pPr>
      <w:r>
        <w:rPr>
          <w:rFonts w:ascii="Times New Roman;sans-serif" w:hAnsi="Times New Roman;sans-serif"/>
          <w:b/>
          <w:color w:val="000000"/>
          <w:sz w:val="24"/>
          <w:shd w:fill="FFFFFF" w:val="clear"/>
        </w:rPr>
        <w:t>14.</w:t>
      </w:r>
      <w:r>
        <w:rPr>
          <w:rFonts w:ascii="Times New Roman;sans-serif" w:hAnsi="Times New Roman;sans-serif"/>
          <w:b/>
          <w:color w:val="000000"/>
          <w:sz w:val="24"/>
          <w:u w:val="single"/>
          <w:shd w:fill="FFFFFF" w:val="clear"/>
        </w:rPr>
        <w:t xml:space="preserve">Severability. </w:t>
      </w:r>
      <w:r>
        <w:rPr>
          <w:rFonts w:ascii="Times New Roman;sans-serif" w:hAnsi="Times New Roman;sans-serif"/>
          <w:b w:val="false"/>
          <w:color w:val="000000"/>
          <w:sz w:val="24"/>
          <w:shd w:fill="FFFFFF" w:val="clear"/>
        </w:rPr>
        <w:t xml:space="preserve">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limitations, each portion of this Agreement containing any provision held to be invalid, void or otherwise unenforceable, that is not itself invalid, void or unenforceable) shall be construed so as to give effect to the intent manifested by the provision held invalid, illegal or unenforceable. </w:t>
      </w:r>
    </w:p>
    <w:p>
      <w:pPr>
        <w:pStyle w:val="TextBody"/>
        <w:bidi w:val="0"/>
        <w:spacing w:lineRule="auto" w:line="240" w:before="0" w:after="240"/>
        <w:ind w:left="0" w:right="0" w:hanging="630"/>
        <w:jc w:val="both"/>
        <w:rPr>
          <w:shd w:fill="FFFFFF" w:val="clear"/>
        </w:rPr>
      </w:pPr>
      <w:r>
        <w:rPr>
          <w:rFonts w:ascii="Times New Roman;sans-serif" w:hAnsi="Times New Roman;sans-serif"/>
          <w:b/>
          <w:color w:val="000000"/>
          <w:sz w:val="24"/>
          <w:shd w:fill="FFFFFF" w:val="clear"/>
        </w:rPr>
        <w:t>15.</w:t>
      </w:r>
      <w:r>
        <w:rPr>
          <w:rFonts w:ascii="Times New Roman;sans-serif" w:hAnsi="Times New Roman;sans-serif"/>
          <w:b/>
          <w:color w:val="000000"/>
          <w:sz w:val="24"/>
          <w:u w:val="single"/>
          <w:shd w:fill="FFFFFF" w:val="clear"/>
        </w:rPr>
        <w:t>Governing Law and Consent to Jurisdiction</w:t>
      </w:r>
      <w:r>
        <w:rPr>
          <w:rFonts w:ascii="Times New Roman;sans-serif" w:hAnsi="Times New Roman;sans-serif"/>
          <w:b w:val="false"/>
          <w:color w:val="000000"/>
          <w:sz w:val="24"/>
          <w:shd w:fill="FFFFFF" w:val="clear"/>
        </w:rPr>
        <w:t xml:space="preserve">. This Agreement shall be governed in all respects by the laws of the State of Delaware without regard to conflicts of law principles thereof. Except with respect to any arbitration commenced by Indemnitee pursuant to Section 8 of this Agreement, the Company and Indemnitee each hereby irrevocably consent to the jurisdiction of the courts of the State of California for all purposes in connection with any action or proceeding which arises out of or relates to this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6"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Agreement and agree that any action under this Agreement shall be brought only in the courts of the State of California.</w:t>
      </w:r>
    </w:p>
    <w:p>
      <w:pPr>
        <w:pStyle w:val="TextBody"/>
        <w:bidi w:val="0"/>
        <w:spacing w:lineRule="auto" w:line="240" w:before="0" w:after="240"/>
        <w:ind w:left="0" w:right="0" w:hanging="630"/>
        <w:jc w:val="both"/>
        <w:rPr>
          <w:shd w:fill="FFFFFF" w:val="clear"/>
        </w:rPr>
      </w:pPr>
      <w:r>
        <w:rPr>
          <w:rFonts w:ascii="Times New Roman;sans-serif" w:hAnsi="Times New Roman;sans-serif"/>
          <w:b/>
          <w:color w:val="000000"/>
          <w:sz w:val="24"/>
          <w:shd w:fill="FFFFFF" w:val="clear"/>
        </w:rPr>
        <w:t>16.</w:t>
      </w:r>
      <w:r>
        <w:rPr>
          <w:rFonts w:ascii="Times New Roman;sans-serif" w:hAnsi="Times New Roman;sans-serif"/>
          <w:b/>
          <w:color w:val="000000"/>
          <w:sz w:val="24"/>
          <w:u w:val="single"/>
          <w:shd w:fill="FFFFFF" w:val="clear"/>
        </w:rPr>
        <w:t>Binding Effect</w:t>
      </w:r>
      <w:r>
        <w:rPr>
          <w:rFonts w:ascii="Times New Roman;sans-serif" w:hAnsi="Times New Roman;sans-serif"/>
          <w:b w:val="false"/>
          <w:color w:val="000000"/>
          <w:sz w:val="24"/>
          <w:shd w:fill="FFFFFF" w:val="clear"/>
        </w:rPr>
        <w:t xml:space="preserve">. This Agreement shall be binding upon the Indemnitee and upon the Company, its successors and assigns, and shall inure to the benefit of the Indemnitee, the Indemnitee’s heirs, personal representatives and assigns and to the benefit of the Company, its successors and assigns. </w:t>
      </w:r>
    </w:p>
    <w:p>
      <w:pPr>
        <w:pStyle w:val="TextBody"/>
        <w:bidi w:val="0"/>
        <w:spacing w:lineRule="auto" w:line="240" w:before="0" w:after="240"/>
        <w:ind w:left="0" w:right="0" w:hanging="630"/>
        <w:jc w:val="both"/>
        <w:rPr>
          <w:shd w:fill="FFFFFF" w:val="clear"/>
        </w:rPr>
      </w:pPr>
      <w:r>
        <w:rPr>
          <w:rFonts w:ascii="Times New Roman;sans-serif" w:hAnsi="Times New Roman;sans-serif"/>
          <w:b/>
          <w:color w:val="000000"/>
          <w:sz w:val="24"/>
          <w:shd w:fill="FFFFFF" w:val="clear"/>
        </w:rPr>
        <w:t>17.</w:t>
      </w:r>
      <w:r>
        <w:rPr>
          <w:rFonts w:ascii="Times New Roman;sans-serif" w:hAnsi="Times New Roman;sans-serif"/>
          <w:b/>
          <w:color w:val="000000"/>
          <w:sz w:val="24"/>
          <w:u w:val="single"/>
          <w:shd w:fill="FFFFFF" w:val="clear"/>
        </w:rPr>
        <w:t>Amendment and Termination</w:t>
      </w:r>
      <w:r>
        <w:rPr>
          <w:rFonts w:ascii="Times New Roman;sans-serif" w:hAnsi="Times New Roman;sans-serif"/>
          <w:b w:val="false"/>
          <w:color w:val="000000"/>
          <w:sz w:val="24"/>
          <w:shd w:fill="FFFFFF" w:val="clear"/>
        </w:rPr>
        <w:t xml:space="preserve">. No amendment, modification, termination or cancellation of this Agreement shall be effective unless it is in writing signed by all parties hereto. No waiver of any of the provisions of this Agreement shall be deemed or shall constitute a waiver of any other provisions hereof (whether or not similar) nor shall such waiver constitute a continuing waiver. </w:t>
      </w:r>
    </w:p>
    <w:p>
      <w:pPr>
        <w:pStyle w:val="TextBody"/>
        <w:bidi w:val="0"/>
        <w:spacing w:lineRule="auto" w:line="240" w:before="0" w:after="240"/>
        <w:ind w:left="0" w:right="0" w:hanging="630"/>
        <w:jc w:val="both"/>
        <w:rPr>
          <w:shd w:fill="FFFFFF" w:val="clear"/>
        </w:rPr>
      </w:pPr>
      <w:r>
        <w:rPr>
          <w:rFonts w:ascii="Times New Roman;sans-serif" w:hAnsi="Times New Roman;sans-serif"/>
          <w:b/>
          <w:color w:val="000000"/>
          <w:sz w:val="24"/>
          <w:shd w:fill="FFFFFF" w:val="clear"/>
        </w:rPr>
        <w:t>18.</w:t>
      </w:r>
      <w:r>
        <w:rPr>
          <w:rFonts w:ascii="Times New Roman;sans-serif" w:hAnsi="Times New Roman;sans-serif"/>
          <w:b/>
          <w:color w:val="000000"/>
          <w:sz w:val="24"/>
          <w:u w:val="single"/>
          <w:shd w:fill="FFFFFF" w:val="clear"/>
        </w:rPr>
        <w:t>Integration and Entire Agreement</w:t>
      </w:r>
      <w:r>
        <w:rPr>
          <w:rFonts w:ascii="Times New Roman;sans-serif" w:hAnsi="Times New Roman;sans-serif"/>
          <w:b w:val="false"/>
          <w:color w:val="000000"/>
          <w:sz w:val="24"/>
          <w:shd w:fill="FFFFFF" w:val="clear"/>
        </w:rPr>
        <w:t xml:space="preserve">. This Agreement sets forth the entire understanding between the parties hereto and supersedes and merges all previous written and oral negotiations, commitments, understandings and agreements relating to the subject matter hereof between the parties hereto. </w:t>
      </w:r>
    </w:p>
    <w:p>
      <w:pPr>
        <w:pStyle w:val="TextBody"/>
        <w:bidi w:val="0"/>
        <w:spacing w:lineRule="auto" w:line="240" w:before="0" w:after="240"/>
        <w:ind w:left="0" w:right="0" w:hanging="630"/>
        <w:jc w:val="both"/>
        <w:rPr>
          <w:shd w:fill="FFFFFF" w:val="clear"/>
        </w:rPr>
      </w:pPr>
      <w:r>
        <w:rPr>
          <w:rFonts w:ascii="Times New Roman;sans-serif" w:hAnsi="Times New Roman;sans-serif"/>
          <w:b/>
          <w:color w:val="000000"/>
          <w:sz w:val="24"/>
          <w:shd w:fill="FFFFFF" w:val="clear"/>
        </w:rPr>
        <w:t>19.</w:t>
      </w:r>
      <w:r>
        <w:rPr>
          <w:rFonts w:ascii="Times New Roman;sans-serif" w:hAnsi="Times New Roman;sans-serif"/>
          <w:b/>
          <w:color w:val="000000"/>
          <w:sz w:val="24"/>
          <w:u w:val="single"/>
          <w:shd w:fill="FFFFFF" w:val="clear"/>
        </w:rPr>
        <w:t>No Construction as Employment Agreement</w:t>
      </w:r>
      <w:r>
        <w:rPr>
          <w:rFonts w:ascii="Times New Roman;sans-serif" w:hAnsi="Times New Roman;sans-serif"/>
          <w:b w:val="false"/>
          <w:color w:val="000000"/>
          <w:sz w:val="24"/>
          <w:shd w:fill="FFFFFF" w:val="clear"/>
        </w:rPr>
        <w:t xml:space="preserve">. Nothing contained in this Agreement shall be construed as giving the Indemnitee any right to be retained in the employ of the Company or any of its subsidiaries. </w:t>
      </w:r>
    </w:p>
    <w:p>
      <w:pPr>
        <w:pStyle w:val="TextBody"/>
        <w:bidi w:val="0"/>
        <w:spacing w:lineRule="auto" w:line="240" w:before="0" w:after="240"/>
        <w:ind w:left="0" w:right="0" w:hanging="630"/>
        <w:jc w:val="both"/>
        <w:rPr>
          <w:shd w:fill="FFFFFF" w:val="clear"/>
        </w:rPr>
      </w:pPr>
      <w:r>
        <w:rPr>
          <w:rFonts w:ascii="Times New Roman;sans-serif" w:hAnsi="Times New Roman;sans-serif"/>
          <w:b/>
          <w:color w:val="000000"/>
          <w:sz w:val="24"/>
          <w:shd w:fill="FFFFFF" w:val="clear"/>
        </w:rPr>
        <w:t>20.</w:t>
      </w:r>
      <w:r>
        <w:rPr>
          <w:rFonts w:ascii="Times New Roman;sans-serif" w:hAnsi="Times New Roman;sans-serif"/>
          <w:b/>
          <w:color w:val="000000"/>
          <w:sz w:val="24"/>
          <w:u w:val="single"/>
          <w:shd w:fill="FFFFFF" w:val="clear"/>
        </w:rPr>
        <w:t>Liability Insurance</w:t>
      </w:r>
      <w:r>
        <w:rPr>
          <w:rFonts w:ascii="Times New Roman;sans-serif" w:hAnsi="Times New Roman;sans-serif"/>
          <w:b/>
          <w:color w:val="000000"/>
          <w:sz w:val="24"/>
          <w:shd w:fill="FFFFFF" w:val="clear"/>
        </w:rPr>
        <w:t xml:space="preserve">. </w:t>
      </w:r>
      <w:r>
        <w:rPr>
          <w:rFonts w:ascii="Times New Roman;sans-serif" w:hAnsi="Times New Roman;sans-serif"/>
          <w:b w:val="false"/>
          <w:color w:val="000000"/>
          <w:sz w:val="24"/>
          <w:shd w:fill="FFFFFF" w:val="clear"/>
        </w:rPr>
        <w:t>To the extent the Company maintains liability insurance applicable to directors and/or officers of the Company, the Company shall use commercially reasonable efforts to provide that the Indemnitee shall be covered by such policies in such a manner as to provide the Indemnitee the same rights and benefits as are accorded to the most favorably insured of the Company’s officers and directors.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pStyle w:val="TextBody"/>
        <w:bidi w:val="0"/>
        <w:spacing w:lineRule="auto" w:line="240" w:before="0" w:after="240"/>
        <w:ind w:left="0" w:right="0" w:hanging="630"/>
        <w:jc w:val="both"/>
        <w:rPr>
          <w:shd w:fill="FFFFFF" w:val="clear"/>
        </w:rPr>
      </w:pPr>
      <w:r>
        <w:rPr>
          <w:rFonts w:ascii="Times New Roman;sans-serif" w:hAnsi="Times New Roman;sans-serif"/>
          <w:b/>
          <w:color w:val="000000"/>
          <w:sz w:val="24"/>
          <w:shd w:fill="FFFFFF" w:val="clear"/>
        </w:rPr>
        <w:t>21.</w:t>
      </w:r>
      <w:r>
        <w:rPr>
          <w:rFonts w:ascii="Times New Roman;sans-serif" w:hAnsi="Times New Roman;sans-serif"/>
          <w:b/>
          <w:color w:val="000000"/>
          <w:sz w:val="24"/>
          <w:u w:val="single"/>
          <w:shd w:fill="FFFFFF" w:val="clear"/>
        </w:rPr>
        <w:t>Certain Definitions and Interpretations</w:t>
      </w:r>
      <w:r>
        <w:rPr>
          <w:rFonts w:ascii="Times New Roman;sans-serif" w:hAnsi="Times New Roman;sans-serif"/>
          <w:b w:val="false"/>
          <w:color w:val="000000"/>
          <w:sz w:val="24"/>
          <w:u w:val="single"/>
          <w:shd w:fill="FFFFFF" w:val="clear"/>
        </w:rPr>
        <w:t>.</w:t>
      </w:r>
      <w:r>
        <w:rPr>
          <w:color w:val="000000"/>
          <w:u w:val="single"/>
          <w:shd w:fill="FFFFFF" w:val="clear"/>
        </w:rPr>
        <w:t xml:space="preserve"> </w:t>
      </w:r>
      <w:r>
        <w:rPr>
          <w:rFonts w:ascii="Times New Roman;sans-serif" w:hAnsi="Times New Roman;sans-serif"/>
          <w:b w:val="false"/>
          <w:color w:val="000000"/>
          <w:sz w:val="24"/>
          <w:shd w:fill="FFFFFF" w:val="clear"/>
        </w:rPr>
        <w:t>Except where the context requires otherwise:</w:t>
      </w:r>
    </w:p>
    <w:p>
      <w:pPr>
        <w:pStyle w:val="TextBody"/>
        <w:bidi w:val="0"/>
        <w:spacing w:lineRule="auto" w:line="240" w:before="240" w:after="283"/>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(a).References to “Company” shall mean, in addition to the resulting or surviving company, any constituent company or corporation (including any constituent of a constituent) absorbed in a consolidation or merger which,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then Indemnitee shall stand in the same position under the provisions of this Agreement with respect to the resulting or surviving corporation as Indemnitee would have with respect to such constituent corporation if its separate existence had continued;</w:t>
      </w:r>
    </w:p>
    <w:p>
      <w:pPr>
        <w:pStyle w:val="TextBody"/>
        <w:bidi w:val="0"/>
        <w:spacing w:before="0" w:after="0"/>
        <w:ind w:left="0" w:right="0" w:hanging="720"/>
        <w:jc w:val="both"/>
        <w:rPr/>
      </w:pPr>
      <w:r>
        <w:rPr/>
      </w:r>
    </w:p>
    <w:p>
      <w:pPr>
        <w:pStyle w:val="TextBody"/>
        <w:bidi w:val="0"/>
        <w:spacing w:lineRule="auto" w:line="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(b).References to “other enterprise” shall include the Company, any of its subsidiaries, branches, offices, affiliates and any other corporation, limited liability company, partnership, joint venture, trust, employee benefit plan or other entity or enterprise of which, in each case, Indemnitee is or was serving at the request of the Company as a director, officer, trustee, general partner, managing member, fiduciary, board of directors’ committee member, employee or agent;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7"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(c).References to “fines” shall include any excise tax assessed with respect to any employee benefit plan; </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“not opposed to the best interests of the Company” as referred to in this Agreement.</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(e).References to “expenses” shall be deemed to have the meaning assigned thereto in Section 2(a).</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(f).References to a “final judgment” shall be deemed to be mean a final judgment of a court of competent jurisdiction to which rights of appeal therefrom have been exhausted or lapsed;</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(g).References to “Change of Control” shall be deemed to mean any one of the following circumstances occurring after the date hereof: (i) there shall have occurred an event required to be reported with respect to the Company in response to Item 6(e) of Schedule 14A of Regulation 14A (or in response to any similar item or any similar schedule or form) under the Exchange Act, regardless of whether the Company is then subject to such reporting requirement; (ii) any “person” or “group” (as such terms are used in Sections 13(d) and 14(d) of the Exchange Act) shall have become, without prior approval of the Board of Directors by approval of at least two-thirds of the Continuing Directors, the “beneficial owner” (as defined in Rule 13d-3 under the Exchange Act), directly or indirectly, of securities of the Company representing 30% or more of the combined voting power of the Company’s then outstanding voting securities (provided that, for purposes of this clause (ii), the term “person” shall exclude (x) the Company, (y) any trustee or other fiduciary holding securities under an employee benefit plan of the Company, and (z) any corporation owned, directly or indirectly, by the stockholders of the Company in substantially the same proportions as their ownership of stock of the Company); (iii) there occurs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 (iv) all or substantially all the assets of the Company are sold or disposed of in a transaction or series of related transactions; (v) the approval by the stockholders of the Company of a complete liquidation of the Company; or (vi) the Continuing Directors cease for any reason to constitute at least a majority of the members of the Board.</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(h).References to “Continuing Director” means each director on the Board on the date hereof.</w:t>
      </w:r>
    </w:p>
    <w:p>
      <w:pPr>
        <w:pStyle w:val="TextBody"/>
        <w:bidi w:val="0"/>
        <w:spacing w:before="0" w:after="0"/>
        <w:ind w:left="0" w:right="0" w:hanging="720"/>
        <w:jc w:val="both"/>
        <w:rPr/>
      </w:pPr>
      <w:r>
        <w:rPr/>
      </w:r>
    </w:p>
    <w:p>
      <w:pPr>
        <w:pStyle w:val="TextBody"/>
        <w:bidi w:val="0"/>
        <w:spacing w:lineRule="auto" w:line="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(i).References to “Disinterested Director” with respect to any request by the Indemnitee for indemnification or advancement of expenses hereunder shall mean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8"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director of the Company who neither is nor was a party to the Proceeding in respect of which indemnification or advancement is being sought by the Indemnitee.</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(j).References to “Independent Counsel” means a law firm, or a member of a law firm, that is experienced in matters of corporate law and neither currently is, nor in the five years previous to its selection or appointment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0"/>
        <w:ind w:left="0" w:right="0" w:hanging="72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(k).References to “including” shall mean “including, without limitation,” regardless of whether the words “without limitation” actually appear, references to the words “herein,” “hereof” and “hereunder” and other words of similar import shall refer to this Agreement as a whole and not to any particular paragraph, subparagraph, section, subsection or other subdivision.</w:t>
      </w:r>
    </w:p>
    <w:p>
      <w:pPr>
        <w:pStyle w:val="TextBody"/>
        <w:bidi w:val="0"/>
        <w:spacing w:lineRule="auto" w:line="240" w:before="240" w:after="240"/>
        <w:jc w:val="center"/>
        <w:rPr>
          <w:shd w:fill="FFFFFF" w:val="clear"/>
        </w:rPr>
      </w:pPr>
      <w:r>
        <w:rPr>
          <w:rFonts w:ascii="Times New Roman;sans-serif" w:hAnsi="Times New Roman;sans-serif"/>
          <w:b w:val="false"/>
          <w:color w:val="000000"/>
          <w:sz w:val="24"/>
          <w:shd w:fill="FFFFFF" w:val="clear"/>
        </w:rPr>
        <w:t>[</w:t>
      </w:r>
      <w:r>
        <w:rPr>
          <w:rFonts w:ascii="Times New Roman;sans-serif" w:hAnsi="Times New Roman;sans-serif"/>
          <w:b w:val="false"/>
          <w:i/>
          <w:color w:val="000000"/>
          <w:sz w:val="24"/>
          <w:shd w:fill="FFFFFF" w:val="clear"/>
        </w:rPr>
        <w:t>Remainder of page intentionally left blank</w:t>
      </w:r>
      <w:r>
        <w:rPr>
          <w:rFonts w:ascii="Times New Roman;sans-serif" w:hAnsi="Times New Roman;sans-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9"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0"/>
        <w:jc w:val="both"/>
        <w:rPr>
          <w:shd w:fill="FFFFFF" w:val="clear"/>
        </w:rPr>
      </w:pPr>
      <w:r>
        <w:rPr>
          <w:rFonts w:ascii="Times New Roman;sans-serif" w:hAnsi="Times New Roman;sans-serif"/>
          <w:b/>
          <w:color w:val="000000"/>
          <w:sz w:val="24"/>
          <w:shd w:fill="FFFFFF" w:val="clear"/>
        </w:rPr>
        <w:t>IN WITNESS WHEREOF</w:t>
      </w:r>
      <w:r>
        <w:rPr>
          <w:rFonts w:ascii="Times New Roman;sans-serif" w:hAnsi="Times New Roman;sans-serif"/>
          <w:b w:val="false"/>
          <w:color w:val="000000"/>
          <w:sz w:val="24"/>
          <w:shd w:fill="FFFFFF" w:val="clear"/>
        </w:rPr>
        <w:t xml:space="preserve">, the parties hereto have executed this Agreement as of the date first written above. </w:t>
      </w:r>
    </w:p>
    <w:p>
      <w:pPr>
        <w:pStyle w:val="TextBody"/>
        <w:bidi w:val="0"/>
        <w:spacing w:before="240" w:after="240"/>
        <w:ind w:left="0" w:right="0" w:hanging="4680"/>
        <w:jc w:val="both"/>
        <w:rPr/>
      </w:pPr>
      <w:r>
        <w:rPr/>
      </w:r>
    </w:p>
    <w:p>
      <w:pPr>
        <w:pStyle w:val="TextBody"/>
        <w:bidi w:val="0"/>
        <w:spacing w:lineRule="auto" w:line="240" w:before="240" w:after="240"/>
        <w:ind w:left="0" w:right="0" w:hanging="468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COMPANY</w:t>
      </w:r>
    </w:p>
    <w:p>
      <w:pPr>
        <w:pStyle w:val="TextBody"/>
        <w:bidi w:val="0"/>
        <w:spacing w:lineRule="auto" w:line="240" w:before="240" w:after="240"/>
        <w:ind w:left="0" w:right="0" w:hanging="468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GIGACLOUD TECHNOLOGY INC</w:t>
      </w:r>
    </w:p>
    <w:p>
      <w:pPr>
        <w:pStyle w:val="TextBody"/>
        <w:bidi w:val="0"/>
        <w:spacing w:before="240" w:after="240"/>
        <w:ind w:left="0" w:right="0" w:hanging="4680"/>
        <w:jc w:val="both"/>
        <w:rPr/>
      </w:pPr>
      <w:r>
        <w:rPr/>
      </w:r>
    </w:p>
    <w:p>
      <w:pPr>
        <w:pStyle w:val="TextBody"/>
        <w:bidi w:val="0"/>
        <w:spacing w:lineRule="auto" w:line="240" w:before="0" w:after="0"/>
        <w:ind w:left="0" w:right="0" w:hanging="468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By: _______________________</w:t>
      </w:r>
    </w:p>
    <w:p>
      <w:pPr>
        <w:pStyle w:val="TextBody"/>
        <w:bidi w:val="0"/>
        <w:spacing w:lineRule="auto" w:line="240" w:before="0" w:after="0"/>
        <w:ind w:left="0" w:right="0" w:hanging="468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Name: </w:t>
      </w:r>
    </w:p>
    <w:p>
      <w:pPr>
        <w:pStyle w:val="TextBody"/>
        <w:bidi w:val="0"/>
        <w:spacing w:lineRule="auto" w:line="240" w:before="0" w:after="0"/>
        <w:ind w:left="0" w:right="0" w:hanging="468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21945"/>
                <wp:effectExtent l="0" t="0" r="0" b="0"/>
                <wp:wrapNone/>
                <wp:docPr id="200" name="Frame1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Indemnification Agreement]</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Indemnification Agreement]</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shd w:fill="FFFFFF" w:val="clear"/>
        </w:rPr>
      </w:pPr>
      <w:r>
        <w:rPr>
          <w:rFonts w:ascii="Times New Roman;sans-serif" w:hAnsi="Times New Roman;sans-serif"/>
          <w:b/>
          <w:color w:val="000000"/>
          <w:sz w:val="24"/>
          <w:shd w:fill="FFFFFF" w:val="clear"/>
        </w:rPr>
        <w:t>IN WITNESS WHEREOF</w:t>
      </w:r>
      <w:r>
        <w:rPr>
          <w:rFonts w:ascii="Times New Roman;sans-serif" w:hAnsi="Times New Roman;sans-serif"/>
          <w:b w:val="false"/>
          <w:color w:val="000000"/>
          <w:sz w:val="24"/>
          <w:shd w:fill="FFFFFF" w:val="clear"/>
        </w:rPr>
        <w:t xml:space="preserve">, the parties hereto have executed this Agreement as of the date first written above. </w:t>
      </w:r>
    </w:p>
    <w:p>
      <w:pPr>
        <w:pStyle w:val="TextBody"/>
        <w:bidi w:val="0"/>
        <w:spacing w:before="240" w:after="240"/>
        <w:ind w:left="0" w:right="0" w:hanging="4680"/>
        <w:jc w:val="both"/>
        <w:rPr/>
      </w:pPr>
      <w:r>
        <w:rPr/>
      </w:r>
    </w:p>
    <w:p>
      <w:pPr>
        <w:pStyle w:val="TextBody"/>
        <w:bidi w:val="0"/>
        <w:spacing w:lineRule="auto" w:line="240" w:before="240" w:after="240"/>
        <w:ind w:left="0" w:right="0" w:hanging="468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INDEMNITEE</w:t>
      </w:r>
    </w:p>
    <w:p>
      <w:pPr>
        <w:pStyle w:val="TextBody"/>
        <w:bidi w:val="0"/>
        <w:spacing w:lineRule="auto" w:line="240" w:before="0" w:after="0"/>
        <w:ind w:left="0" w:right="0" w:hanging="468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_______________________</w:t>
      </w:r>
    </w:p>
    <w:p>
      <w:pPr>
        <w:pStyle w:val="TextBody"/>
        <w:bidi w:val="0"/>
        <w:spacing w:lineRule="auto" w:line="240" w:before="0" w:after="0"/>
        <w:ind w:left="0" w:right="0" w:hanging="468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Name: </w:t>
      </w:r>
    </w:p>
    <w:p>
      <w:pPr>
        <w:pStyle w:val="TextBody"/>
        <w:bidi w:val="0"/>
        <w:spacing w:lineRule="auto" w:line="240"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Email:</w:t>
      </w:r>
    </w:p>
    <w:p>
      <w:pPr>
        <w:pStyle w:val="TextBody"/>
        <w:bidi w:val="0"/>
        <w:spacing w:lineRule="auto" w:line="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Address: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10.10</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1"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Indemnification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Indemnification Agreement]</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EXECUTION VERSION</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ASSET PURCHASE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BY AND AMONG</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NOBLE HOUSE HOME FURNISHINGS LLC AND CERTAIN AFFILIATES,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 SELLER</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GIGACLOUD TECHNOLOGY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AS BUYER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DATED AS OF SEPTEMBER 11,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467360"/>
                <wp:effectExtent l="0" t="0" r="0" b="0"/>
                <wp:wrapNone/>
                <wp:docPr id="202" name="Frame193"/>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40"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1.1(b) – Other Permitted Liens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2.1(a) – Accounts Receivable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2.1(b) – Tangible Personal Property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2.1(d) – Assigned Contracts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2.1(e) – Deposits and Prepayments re Assigned Contracts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2.1(f) – Permits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2.2(p) – Other Excluded Assets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2.4(a)(iv) – Customer Refunds and Rebates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 – Corporate Existence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4.7 – Permits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4.10 – Financial Statements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4.11(a) – Employee Benefit Plans of Purchased Subsidiaries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4.11(b) – Employees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4.12(a) – Material Contracts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4.13(a) – Intellectual Property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4.13(d) – Intellectual Property Exceptions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4.14(b) – Security Incidents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4.15(b) – Tax Challenges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4.17(c) – Leased Real Property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4.20(a) – Material Customer Exceptions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4.21 – Affiliate Transactions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4.23 – Product Liability and Recalls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4.24 – Product Warranties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92100"/>
                <wp:effectExtent l="0" t="0" r="0" b="0"/>
                <wp:wrapNone/>
                <wp:docPr id="203" name="Frame19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ASSET PURCHASE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ASSET PURCHASE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September 11, 2023, is entered into by and among Noble House Home Furnishings LLC, Best Selling Home Decor Furniture, LLC, Le Pouf, LLC, and NH Services LLC (together,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and GigaCloud Technology Inc</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Buyer</w:t>
      </w:r>
      <w:r>
        <w:rPr>
          <w:color w:val="000000"/>
        </w:rPr>
        <w:t>”</w:t>
      </w:r>
      <w:r>
        <w:rPr>
          <w:rFonts w:ascii="Times New Roman;sans-serif" w:hAnsi="Times New Roman;sans-serif"/>
          <w:b w:val="false"/>
          <w:color w:val="000000"/>
          <w:sz w:val="24"/>
        </w:rPr>
        <w:t xml:space="preserve">) (or an assignee or nominee of Buyer pursuant to </w:t>
      </w:r>
      <w:r>
        <w:rPr>
          <w:rFonts w:ascii="Times New Roman;sans-serif" w:hAnsi="Times New Roman;sans-serif"/>
          <w:b w:val="false"/>
          <w:color w:val="000000"/>
          <w:sz w:val="24"/>
          <w:u w:val="single"/>
        </w:rPr>
        <w:t>Section 11.4</w:t>
      </w:r>
      <w:r>
        <w:rPr>
          <w:color w:val="000000"/>
        </w:rPr>
        <w:t xml:space="preserve"> </w:t>
      </w:r>
      <w:r>
        <w:rPr>
          <w:rFonts w:ascii="Times New Roman;sans-serif" w:hAnsi="Times New Roman;sans-serif"/>
          <w:b w:val="false"/>
          <w:color w:val="000000"/>
          <w:sz w:val="24"/>
        </w:rPr>
        <w:t>below). Seller and Buyer are referred to herein as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 xml:space="preserve">. Capitalized terms used but not otherwise defined herein have the meaning ascribed to such terms in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Seller is in the business of manufacturing, distributing, and retailing an extensive selection of indoor and outdoor home furnishings, through an innovative “just in time” supply chain network (the “</w:t>
      </w:r>
      <w:r>
        <w:rPr>
          <w:rFonts w:ascii="Times New Roman;sans-serif" w:hAnsi="Times New Roman;sans-serif"/>
          <w:b w:val="false"/>
          <w:color w:val="000000"/>
          <w:sz w:val="24"/>
          <w:u w:val="single"/>
        </w:rPr>
        <w:t>Business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Seller will be a chapter 11 debtor and debtor-in-possession in a bankruptcy case (the “</w:t>
      </w:r>
      <w:r>
        <w:rPr>
          <w:rFonts w:ascii="Times New Roman;sans-serif" w:hAnsi="Times New Roman;sans-serif"/>
          <w:b w:val="false"/>
          <w:color w:val="000000"/>
          <w:sz w:val="24"/>
          <w:u w:val="single"/>
        </w:rPr>
        <w:t>Bankruptcy Case</w:t>
      </w:r>
      <w:r>
        <w:rPr>
          <w:color w:val="000000"/>
        </w:rPr>
        <w:t>”</w:t>
      </w:r>
      <w:r>
        <w:rPr>
          <w:rFonts w:ascii="Times New Roman;sans-serif" w:hAnsi="Times New Roman;sans-serif"/>
          <w:b w:val="false"/>
          <w:color w:val="000000"/>
          <w:sz w:val="24"/>
        </w:rPr>
        <w:t>) to be filed in the United States Bankruptcy Court for the Southern District of Texas, Houston Division (the “</w:t>
      </w:r>
      <w:r>
        <w:rPr>
          <w:rFonts w:ascii="Times New Roman;sans-serif" w:hAnsi="Times New Roman;sans-serif"/>
          <w:b w:val="false"/>
          <w:color w:val="000000"/>
          <w:sz w:val="24"/>
          <w:u w:val="single"/>
        </w:rPr>
        <w:t>Bankruptcy Court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C.    Seller intends to seek entry of </w:t>
      </w:r>
      <w:r>
        <w:rPr>
          <w:rFonts w:ascii="Times New Roman;sans-serif" w:hAnsi="Times New Roman;sans-serif"/>
          <w:b w:val="false"/>
          <w:i/>
          <w:color w:val="000000"/>
          <w:sz w:val="24"/>
        </w:rPr>
        <w:t>an Order Approving (a) Bid Procedures; (b) the Form and Manner of Notice; (c) the Procedures for Determining Cure Amounts for Executory Contracts and Unexpired Leases; and (d) Granting Related Relief</w:t>
      </w:r>
      <w:r>
        <w:rPr>
          <w:color w:val="000000"/>
        </w:rPr>
        <w:t xml:space="preserve"> </w:t>
      </w:r>
      <w:r>
        <w:rPr>
          <w:rFonts w:ascii="Times New Roman;sans-serif" w:hAnsi="Times New Roman;sans-serif"/>
          <w:b w:val="false"/>
          <w:color w:val="000000"/>
          <w:sz w:val="24"/>
        </w:rPr>
        <w:t>or similar relief by the Bankruptcy Court (the “</w:t>
      </w:r>
      <w:r>
        <w:rPr>
          <w:rFonts w:ascii="Times New Roman;sans-serif" w:hAnsi="Times New Roman;sans-serif"/>
          <w:b w:val="false"/>
          <w:color w:val="000000"/>
          <w:sz w:val="24"/>
          <w:u w:val="single"/>
        </w:rPr>
        <w:t>Procedures Order</w:t>
      </w:r>
      <w:r>
        <w:rPr>
          <w:color w:val="000000"/>
        </w:rPr>
        <w:t>”</w:t>
      </w:r>
      <w:r>
        <w:rPr>
          <w:rFonts w:ascii="Times New Roman;sans-serif" w:hAnsi="Times New Roman;sans-serif"/>
          <w:b w:val="false"/>
          <w:color w:val="000000"/>
          <w:sz w:val="24"/>
        </w:rPr>
        <w:t>). Consistent with the Procedures Order, this Agreement is subject to higher and better bids for the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    Seller desires to sell to Buyer, pursuant to section 363(f) of the Bankruptcy Code (as defined in Section 1.1) and with the approval of the Bankruptcy Court,</w:t>
      </w:r>
      <w:r>
        <w:rPr>
          <w:color w:val="000000"/>
        </w:rPr>
        <w:t xml:space="preserve"> </w:t>
      </w:r>
      <w:r>
        <w:rPr>
          <w:rFonts w:ascii="Times New Roman;sans-serif" w:hAnsi="Times New Roman;sans-serif"/>
          <w:b w:val="false"/>
          <w:color w:val="000000"/>
          <w:sz w:val="24"/>
        </w:rPr>
        <w:t>substantially all of the assets of Seller used exclusively in connection with or arising out of the operation of the Business, and Buyer desires to purchase such assets from Seller, all on the terms and conditions set forth in this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AGREEMENTS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premises and the representations, warranties, covenants and agreements contained herein, and for other good and valuable consideration, the receipt and sufficiency of which is hereby acknowledged, the Parties hereby agree as follows:</w:t>
      </w:r>
    </w:p>
    <w:p>
      <w:pPr>
        <w:pStyle w:val="TextBody"/>
        <w:bidi w:val="0"/>
        <w:spacing w:lineRule="auto" w:line="240"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u w:val="single"/>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 xml:space="preserve">. When used in this Agreement, the following terms shall have the meanings assigned to them in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color w:val="000000"/>
          <w:sz w:val="24"/>
          <w:u w:val="single"/>
          <w:shd w:fill="FFFFFF" w:val="clear"/>
        </w:rPr>
        <w:t>Accounts Receivable</w:t>
      </w:r>
      <w:r>
        <w:rPr>
          <w:color w:val="000000"/>
          <w:shd w:fill="FFFFFF" w:val="clear"/>
        </w:rPr>
        <w:t xml:space="preserve">” </w:t>
      </w:r>
      <w:r>
        <w:rPr>
          <w:rFonts w:ascii="Times New Roman;sans-serif" w:hAnsi="Times New Roman;sans-serif"/>
          <w:b w:val="false"/>
          <w:color w:val="000000"/>
          <w:sz w:val="24"/>
          <w:shd w:fill="FFFFFF" w:val="clear"/>
        </w:rPr>
        <w:t>shall mean all bona fide accounts receivable, notes receivable, and other amounts payable to Seller (on a consolidated basis) in connection with the Business as of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with respect to any specified Person, any other Person directly or indirectly controlling, controlled by or under common control with such specified Person. For purposes of this definition, the terms “controlling,” “controlled by,” or “under common control with” shall mean the possession, direct or indirect, of the power to direct or cause the direction of the management and policies of a Person, whether through the ownership of voting securities, by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92100"/>
                <wp:effectExtent l="0" t="0" r="0" b="0"/>
                <wp:wrapNone/>
                <wp:docPr id="204" name="Frame19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contract or otherwise, or the power to elect more than fifty percent (50%) of the directors, managers, general partners, or persons exercising similar authority with respect to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Agreed Statement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has the meaning set forth in the Preamble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Allocation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Ancillary Documents</w:t>
      </w:r>
      <w:r>
        <w:rPr>
          <w:color w:val="000000"/>
        </w:rPr>
        <w:t xml:space="preserve">” </w:t>
      </w:r>
      <w:r>
        <w:rPr>
          <w:rFonts w:ascii="Times New Roman;sans-serif" w:hAnsi="Times New Roman;sans-serif"/>
          <w:b w:val="false"/>
          <w:color w:val="000000"/>
          <w:sz w:val="24"/>
        </w:rPr>
        <w:t>means any agreements, instruments and documents delivered at the Closing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means all Laws of any jurisdiction applicable to the Seller or the Business from time to time concerning or relating to bribery or corruption.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Approval Order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6.6(a)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Assigned Contracts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Assumed Liabilities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Banc of America Loan</w:t>
      </w:r>
      <w:r>
        <w:rPr>
          <w:color w:val="000000"/>
        </w:rPr>
        <w:t xml:space="preserve">” </w:t>
      </w:r>
      <w:r>
        <w:rPr>
          <w:rFonts w:ascii="Times New Roman;sans-serif" w:hAnsi="Times New Roman;sans-serif"/>
          <w:b w:val="false"/>
          <w:color w:val="000000"/>
          <w:sz w:val="24"/>
        </w:rPr>
        <w:t>means the Master Loan and Security Agreement, dated as of September 2, 2016, between Seller and Banc of America Leasing &amp; Capital, LLC (or any successor thereto), as amended, and all equipment notes issued thereunder, with respect to financed equipment utilized in the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Case</w:t>
      </w:r>
      <w:r>
        <w:rPr>
          <w:color w:val="000000"/>
        </w:rPr>
        <w:t xml:space="preserve">” </w:t>
      </w:r>
      <w:r>
        <w:rPr>
          <w:rFonts w:ascii="Times New Roman;sans-serif" w:hAnsi="Times New Roman;sans-serif"/>
          <w:b w:val="false"/>
          <w:color w:val="000000"/>
          <w:sz w:val="24"/>
        </w:rPr>
        <w:t>has the meaning ascribed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means title 11 of the United States Code, 11 U.S.C. §§ 101-1532,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Court</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Base Purchase Price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means: (a) any material Employee Plan and (b) any material employment, severance or similar contract or arrangement (whether or not written) or agreement, arrangement, plan or policy (whether or not written) providing any compensation or benefits to any Employee (including any agreement, arrangement, plan or policy making available bonuses, equity awards, or deferred compensation) other than an Employee Plan, to which Seller has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Bill of Sale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3.2(b)(i)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Books and Records</w:t>
      </w:r>
      <w:r>
        <w:rPr>
          <w:color w:val="000000"/>
        </w:rPr>
        <w:t xml:space="preserve">” </w:t>
      </w:r>
      <w:r>
        <w:rPr>
          <w:rFonts w:ascii="Times New Roman;sans-serif" w:hAnsi="Times New Roman;sans-serif"/>
          <w:b w:val="false"/>
          <w:color w:val="000000"/>
          <w:sz w:val="24"/>
        </w:rPr>
        <w:t>means all of the books and records, in all formats (both tangible and intangible), used or maintained by or on behalf of Seller in connection with or otherwise related to the Business, including (a) executed copies of all of the written Assigned Contracts, (b) all equipment, product and other warranties pertaining to the Purchased Assets, (c) all technical information and any data, maps, computer files, diagrams, blueprints and schematics, (d) all filings made with or records required to be kept by any Governmental Entity (including all backup information on which such filings are based), (e) all research and development reports, (f) all equipment and operating logs, (g) all financial and accounting records, (i) all employment records with respect to Transferred Employees, and (h) all creative, promotional or advertising materials.</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0520"/>
                <wp:effectExtent l="0" t="0" r="0" b="0"/>
                <wp:wrapNone/>
                <wp:docPr id="205" name="Frame1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Saturday, Sunday or other day on which commercial banks located in New York, New York are authorized or required by Law to close.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Buyer</w:t>
      </w:r>
      <w:r>
        <w:rPr>
          <w:color w:val="000000"/>
        </w:rPr>
        <w:t xml:space="preserve">” </w:t>
      </w:r>
      <w:r>
        <w:rPr>
          <w:rFonts w:ascii="Times New Roman;sans-serif" w:hAnsi="Times New Roman;sans-serif"/>
          <w:b w:val="false"/>
          <w:color w:val="000000"/>
          <w:sz w:val="24"/>
        </w:rPr>
        <w:t>has the meaning set forth in the Preamble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Buyer Closing Certificate</w:t>
      </w:r>
      <w:r>
        <w:rPr>
          <w:color w:val="000000"/>
        </w:rPr>
        <w:t xml:space="preserve">” </w:t>
      </w:r>
      <w:r>
        <w:rPr>
          <w:rFonts w:ascii="Times New Roman;sans-serif" w:hAnsi="Times New Roman;sans-serif"/>
          <w:b w:val="false"/>
          <w:color w:val="000000"/>
          <w:sz w:val="24"/>
        </w:rPr>
        <w:t>has the meaning set forth in Section 8.2(c).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Charges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Closing</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Closing Date Net Working Capital</w:t>
      </w:r>
      <w:r>
        <w:rPr>
          <w:color w:val="000000"/>
        </w:rPr>
        <w:t xml:space="preserve">” </w:t>
      </w:r>
      <w:r>
        <w:rPr>
          <w:rFonts w:ascii="Times New Roman;sans-serif" w:hAnsi="Times New Roman;sans-serif"/>
          <w:b w:val="false"/>
          <w:color w:val="000000"/>
          <w:sz w:val="24"/>
        </w:rPr>
        <w:t xml:space="preserve">means the Current Assets as of the Closing Date minus the Current Liabilities as of the Closing Date.  Set forth as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hereto is an illustrative calculation of the Closing Date Net Working Capital.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and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Confidentiality Agreement</w:t>
      </w:r>
      <w:r>
        <w:rPr>
          <w:color w:val="000000"/>
        </w:rPr>
        <w:t xml:space="preserve">” </w:t>
      </w:r>
      <w:r>
        <w:rPr>
          <w:rFonts w:ascii="Times New Roman;sans-serif" w:hAnsi="Times New Roman;sans-serif"/>
          <w:b w:val="false"/>
          <w:color w:val="000000"/>
          <w:sz w:val="24"/>
        </w:rPr>
        <w:t>means that certain Confidentiality Agreement, dated as of July 26, 2023, with GigaCloud Technology.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Contract</w:t>
      </w:r>
      <w:r>
        <w:rPr>
          <w:color w:val="000000"/>
        </w:rPr>
        <w:t xml:space="preserve">” </w:t>
      </w:r>
      <w:r>
        <w:rPr>
          <w:rFonts w:ascii="Times New Roman;sans-serif" w:hAnsi="Times New Roman;sans-serif"/>
          <w:b w:val="false"/>
          <w:color w:val="000000"/>
          <w:sz w:val="24"/>
        </w:rPr>
        <w:t>means any oral or written legally binding agreement, contract, license, lease, sublease, commitment or arrangement (including any employment, marketing, distributor or other type of contract 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Contract Assignments</w:t>
      </w:r>
      <w:r>
        <w:rPr>
          <w:color w:val="000000"/>
        </w:rPr>
        <w:t xml:space="preserve">” </w:t>
      </w:r>
      <w:r>
        <w:rPr>
          <w:rFonts w:ascii="Times New Roman;sans-serif" w:hAnsi="Times New Roman;sans-serif"/>
          <w:b w:val="false"/>
          <w:color w:val="000000"/>
          <w:sz w:val="24"/>
        </w:rPr>
        <w:t>has the meaning set forth in Section 3.2(b)(ii).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COVID-19</w:t>
      </w:r>
      <w:r>
        <w:rPr>
          <w:color w:val="000000"/>
        </w:rPr>
        <w:t xml:space="preserve">” </w:t>
      </w:r>
      <w:r>
        <w:rPr>
          <w:rFonts w:ascii="Times New Roman;sans-serif" w:hAnsi="Times New Roman;sans-serif"/>
          <w:b w:val="false"/>
          <w:color w:val="000000"/>
          <w:sz w:val="24"/>
        </w:rPr>
        <w:t>means SARS-CoV-2 or COVID-19, and any evolutions or variants thereof or related or associate epidemics, pandemics or diseases existing prior to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Current Assets</w:t>
      </w:r>
      <w:r>
        <w:rPr>
          <w:color w:val="000000"/>
        </w:rPr>
        <w:t xml:space="preserve">” </w:t>
      </w:r>
      <w:r>
        <w:rPr>
          <w:rFonts w:ascii="Times New Roman;sans-serif" w:hAnsi="Times New Roman;sans-serif"/>
          <w:b w:val="false"/>
          <w:color w:val="000000"/>
          <w:sz w:val="24"/>
        </w:rPr>
        <w:t xml:space="preserve">means, as of the Closing Date: (i) the outstanding accounts receivable of Seller and each Purchased Subsidiary on a consolidated basis and (ii) the current inventory of Seller and each Purchased Subsidiary on a consolidated basis, (excluding any inventory comprising any HM (SKU) that has not been received since January 1, 2023), calculated on a combined basis in accordance with GAAP and solely to the extent constituting a type of current asset designated as Included Inventory and listed under the “Inventory” tab in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For the avoidance of doubt and notwithstanding anything to the contrary set forth herein, Current Assets shall in no event include any cash or cash equivalents.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Current Liabilities</w:t>
      </w:r>
      <w:r>
        <w:rPr>
          <w:color w:val="000000"/>
        </w:rPr>
        <w:t xml:space="preserve">” </w:t>
      </w:r>
      <w:r>
        <w:rPr>
          <w:rFonts w:ascii="Times New Roman;sans-serif" w:hAnsi="Times New Roman;sans-serif"/>
          <w:b w:val="false"/>
          <w:color w:val="000000"/>
          <w:sz w:val="24"/>
        </w:rPr>
        <w:t xml:space="preserve">means, as of any date or time, the accounts payable, accrued expenses and other working capital liabilities of Seller and each Purchased Subsidiary on a consolidated basis aged not more than 90 days and that were incurred in the Ordinary Course of Business, calculated in accordance with GAAP, in the case of and solely to the extent constituting a type of current liability designated as “Included” on the illustrative calculation of the Closing Date Net Working Capital attached hereto as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For the avoidance of doubt and notwithstanding anything to the contrary set forth herein, Current Liabilities shall in no event include any indebtedness for trade payables outside of Ordinary Course of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Deposit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3.2(a)(i)</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0520"/>
                <wp:effectExtent l="0" t="0" r="0" b="0"/>
                <wp:wrapNone/>
                <wp:docPr id="206" name="Frame1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Effect</w:t>
      </w:r>
      <w:r>
        <w:rPr>
          <w:color w:val="000000"/>
        </w:rPr>
        <w:t xml:space="preserve">” </w:t>
      </w:r>
      <w:r>
        <w:rPr>
          <w:rFonts w:ascii="Times New Roman;sans-serif" w:hAnsi="Times New Roman;sans-serif"/>
          <w:b w:val="false"/>
          <w:color w:val="000000"/>
          <w:sz w:val="24"/>
        </w:rPr>
        <w:t>has the meaning set forth within the definition of Material Adverse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Employee</w:t>
      </w:r>
      <w:r>
        <w:rPr>
          <w:color w:val="000000"/>
        </w:rPr>
        <w:t xml:space="preserve">” </w:t>
      </w:r>
      <w:r>
        <w:rPr>
          <w:rFonts w:ascii="Times New Roman;sans-serif" w:hAnsi="Times New Roman;sans-serif"/>
          <w:b w:val="false"/>
          <w:color w:val="000000"/>
          <w:sz w:val="24"/>
        </w:rPr>
        <w:t>means any employee of Seller or any Purchased Subsidiary (whether salaried or hourly, and full-time or part-time), whether or not actively employed on the date hereof, including employees on vacation and leave of absence, including maternity, family, sick, military or disability leave.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Employee Plan</w:t>
      </w:r>
      <w:r>
        <w:rPr>
          <w:color w:val="000000"/>
        </w:rPr>
        <w:t xml:space="preserve">” </w:t>
      </w:r>
      <w:r>
        <w:rPr>
          <w:rFonts w:ascii="Times New Roman;sans-serif" w:hAnsi="Times New Roman;sans-serif"/>
          <w:b w:val="false"/>
          <w:color w:val="000000"/>
          <w:sz w:val="24"/>
        </w:rPr>
        <w:t>means (i) any plan, program, policy, contract, agreement or other arrangement providing for employment, compensation, bonus, performance award, incentive compensation, retirement, pension, disability, life insurance, health or medical benefits, sick leave, vacation, severance, and other fringe, welfare or other employee benefit renumeration of any kind, in each case, whether or not in writing, including each “employee benefit plan,” as defined in Section 3(3) of ERISA, that: (a) is subject to Title I of ERISA; (b) is maintained, administered or contributed any Purchased Subsidiary, with regard to any employee of a Purchased Subsidiary; and (c) covers any Employee of a Purchased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means Laws relating to pollution, natural resources, Hazardous Materials, or the protection of the environment or to occupational health and safety.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Permits</w:t>
      </w:r>
      <w:r>
        <w:rPr>
          <w:color w:val="000000"/>
        </w:rPr>
        <w:t xml:space="preserve">” </w:t>
      </w:r>
      <w:r>
        <w:rPr>
          <w:rFonts w:ascii="Times New Roman;sans-serif" w:hAnsi="Times New Roman;sans-serif"/>
          <w:b w:val="false"/>
          <w:color w:val="000000"/>
          <w:sz w:val="24"/>
        </w:rPr>
        <w:t>means any permit, certificate, consent, registration, notice, approval, identification number, license or other authorization required under any applicable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and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Assets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HM’s</w:t>
      </w:r>
      <w:r>
        <w:rPr>
          <w:color w:val="000000"/>
        </w:rPr>
        <w:t xml:space="preserve">” </w:t>
      </w:r>
      <w:r>
        <w:rPr>
          <w:rFonts w:ascii="Times New Roman;sans-serif" w:hAnsi="Times New Roman;sans-serif"/>
          <w:b w:val="false"/>
          <w:color w:val="000000"/>
          <w:sz w:val="24"/>
        </w:rPr>
        <w:t xml:space="preserve">means any HM’s that have not been ordered since January 1, 2023 and that are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under the heading “Excluded HM’s”.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FCPA</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4.19(b)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United States generally accepted accounting principles, consistently applied, as in effect when applied by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General Enforceability Exceptions</w:t>
      </w:r>
      <w:r>
        <w:rPr>
          <w:color w:val="000000"/>
        </w:rPr>
        <w:t xml:space="preserve">” </w:t>
      </w:r>
      <w:r>
        <w:rPr>
          <w:rFonts w:ascii="Times New Roman;sans-serif" w:hAnsi="Times New Roman;sans-serif"/>
          <w:b w:val="false"/>
          <w:color w:val="000000"/>
          <w:sz w:val="24"/>
        </w:rPr>
        <w:t>means general principles of equity and by bankruptcy, insolvency or similar Laws and general equitable principles affecting the rights of creditors generally.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Governmental Entity</w:t>
      </w:r>
      <w:r>
        <w:rPr>
          <w:color w:val="000000"/>
        </w:rPr>
        <w:t xml:space="preserve">” </w:t>
      </w:r>
      <w:r>
        <w:rPr>
          <w:rFonts w:ascii="Times New Roman;sans-serif" w:hAnsi="Times New Roman;sans-serif"/>
          <w:b w:val="false"/>
          <w:color w:val="000000"/>
          <w:sz w:val="24"/>
        </w:rPr>
        <w:t>means (i) any nation, state, commonwealth, province, territory, county, municipality, district or other jurisdiction of any nature, foreign or domestic, (ii) any federal, state, local, municipal, or other government of the foregoing, (iii) any governmental or quasi-governmental entity of any nature (including any governmental agency, branch, department, official, or entity and any court or other tribunal) or (iv) anybody (including any international or multinational body) exercising, or entitled to exercise any administrative, executive, judicial, legislative, police, regulatory, or taxing authority or power of any nature, including any arbitral tribunal.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 xml:space="preserve">means any material, substance or waste that is listed, classified, regulated, characterized or otherwise defined as “hazardous,” “toxic,” “radioactive,” a “pollutant,” or “contaminant,” (or words of similar intent or meaning) under any Environmental Laws, including any quantity of asbestos in any form, urea formaldehyde, PCBs, radon gas,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0520"/>
                <wp:effectExtent l="0" t="0" r="0" b="0"/>
                <wp:wrapNone/>
                <wp:docPr id="207" name="Frame1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mold, crude oil or any fraction thereof, all forms of natural gas, petroleum products, petroleum breakdown products, petroleum by-products or petroleum derivatives.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HM</w:t>
      </w:r>
      <w:r>
        <w:rPr>
          <w:color w:val="000000"/>
        </w:rPr>
        <w:t xml:space="preserve">” </w:t>
      </w:r>
      <w:r>
        <w:rPr>
          <w:rFonts w:ascii="Times New Roman;sans-serif" w:hAnsi="Times New Roman;sans-serif"/>
          <w:b w:val="false"/>
          <w:color w:val="000000"/>
          <w:sz w:val="24"/>
        </w:rPr>
        <w:t>means</w:t>
      </w:r>
      <w:r>
        <w:rPr>
          <w:color w:val="000000"/>
        </w:rPr>
        <w:t xml:space="preserve"> </w:t>
      </w:r>
      <w:r>
        <w:rPr>
          <w:rFonts w:ascii="Times New Roman;sans-serif" w:hAnsi="Times New Roman;sans-serif"/>
          <w:b w:val="false"/>
          <w:color w:val="000000"/>
          <w:sz w:val="24"/>
        </w:rPr>
        <w:t>a part, subassembly, packaging / shipping material, or finished product.  An SKU is comprised of a single HM or combination of HM’s.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Holdback Amount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2.6(b)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Included Inventory</w:t>
      </w:r>
      <w:r>
        <w:rPr>
          <w:color w:val="000000"/>
        </w:rPr>
        <w:t xml:space="preserve">” </w:t>
      </w:r>
      <w:r>
        <w:rPr>
          <w:rFonts w:ascii="Times New Roman;sans-serif" w:hAnsi="Times New Roman;sans-serif"/>
          <w:b w:val="false"/>
          <w:color w:val="000000"/>
          <w:sz w:val="24"/>
        </w:rPr>
        <w:t xml:space="preserve">means all inventory of Seller and any Purchased Subsidiary less any inventory comprised of Excluded HM’s in accordance with the “Inventory” tab contained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means: (a) patents, pending applications for patents and statutory invention registrations, including continuations, continuations-in-part, divisions, provisional and non-provisional applications, reexaminations, reissues and extensions; (b) trademarks, service marks, trade names, corporate names, and other indicia of source of origin, including all common law rights thereto and all goodwill associated therewith and registrations and pending applications for registration thereof; (c) works of authorship, copyrights, and all applications and registrations thereof; (d) domain name registrations; (e) trade secrets, know-how, confidential or proprietary technical, business and other information, including processes, techniques, methods, formulae, designs, product specifications, algorithms, supplier information, prospect lists, customer lists, projections, analyses, market studies and similar proprietary items that are in Seller’s possession, and all rights therein and thereto; (f) inventions (whether patentable or unpatentable, and whether or not reduced to practice), invention disclosures, mask works, circuit designs and other designs, industrial design rights, discoveries, ideas, developments, data, and software; (g) all other proprietary and intangible rights; and (h) all copies and tangible embodiments thereof (in whatever form or medium).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IT Systems</w:t>
      </w:r>
      <w:r>
        <w:rPr>
          <w:color w:val="000000"/>
        </w:rPr>
        <w:t xml:space="preserve">” </w:t>
      </w:r>
      <w:r>
        <w:rPr>
          <w:rFonts w:ascii="Times New Roman;sans-serif" w:hAnsi="Times New Roman;sans-serif"/>
          <w:b w:val="false"/>
          <w:color w:val="000000"/>
          <w:sz w:val="24"/>
        </w:rPr>
        <w:t>means any and all information, payment and communications technologies owned or controlled or leased, licensed or used by Seller or a Purchased Subsidiary and used in the conduct of the Business, including all computers, hardware, software (whether in object or source code form), databases, servers, workstations, routers, hubs, switches, data communication lines, networks and all other information technology systems included therein.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means any federal, state, local, municipal or foreign statute, law, ordinance, directive, ordinance, treaty, code, rule, regulation or other requirement of any Governmental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Leased Real Property</w:t>
      </w:r>
      <w:r>
        <w:rPr>
          <w:color w:val="000000"/>
        </w:rPr>
        <w:t xml:space="preserve">” </w:t>
      </w:r>
      <w:r>
        <w:rPr>
          <w:rFonts w:ascii="Times New Roman;sans-serif" w:hAnsi="Times New Roman;sans-serif"/>
          <w:b w:val="false"/>
          <w:color w:val="000000"/>
          <w:sz w:val="24"/>
        </w:rPr>
        <w:t>has the meaning set forth in Section 4.17(c).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Liability(ies)</w:t>
      </w:r>
      <w:r>
        <w:rPr>
          <w:color w:val="000000"/>
        </w:rPr>
        <w:t xml:space="preserve">” </w:t>
      </w:r>
      <w:r>
        <w:rPr>
          <w:rFonts w:ascii="Times New Roman;sans-serif" w:hAnsi="Times New Roman;sans-serif"/>
          <w:b w:val="false"/>
          <w:color w:val="000000"/>
          <w:sz w:val="24"/>
        </w:rPr>
        <w:t>means with respect to any Person, any direct or indirect liabilities, obligations (including reasonable attorney’s fees and reasonable costs of investigation and defense), commitments, indebtedness, claim, loss, damage, deficiency, assessment, fine, penalty, or responsibility of such Person of any kind or nature, whether fixed or unfixed, choate or inchoate, liquidated or unliquidated, secured or unsecured, asserted or unasserted, due or to become due, accrued or unaccrued, vested or unvested, executory, determined, determinable, absolute, known or unknown, contingent or otherwise, regardless of whether or not the same is required to be accrued on any financial statements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with respect to any property or asset, any mortgage, lien, pledge, security interest, hypothecation, charge or any other similar encumbrance in respect of such property or asset.</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0520"/>
                <wp:effectExtent l="0" t="0" r="0" b="0"/>
                <wp:wrapNone/>
                <wp:docPr id="208" name="Frame1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any change, event, development, or effect (each, an “</w:t>
      </w:r>
      <w:r>
        <w:rPr>
          <w:rFonts w:ascii="Times New Roman;sans-serif" w:hAnsi="Times New Roman;sans-serif"/>
          <w:b w:val="false"/>
          <w:color w:val="000000"/>
          <w:sz w:val="24"/>
          <w:u w:val="single"/>
        </w:rPr>
        <w:t>Effect</w:t>
      </w:r>
      <w:r>
        <w:rPr>
          <w:color w:val="000000"/>
        </w:rPr>
        <w:t>”</w:t>
      </w:r>
      <w:r>
        <w:rPr>
          <w:rFonts w:ascii="Times New Roman;sans-serif" w:hAnsi="Times New Roman;sans-serif"/>
          <w:b w:val="false"/>
          <w:color w:val="000000"/>
          <w:sz w:val="24"/>
        </w:rPr>
        <w:t xml:space="preserve">) that, individually or taken together with all other Effects that exist or have occurred, has or would reasonably be expected to have a material adverse effect on the Business, assets, liabilities, financial condition or results of operations of Seller, taken as a whole;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 xml:space="preserve">none of the following shall be taken into account (either alone or in combination) in determining whether there is or has been a Material Adverse Effect: any adverse change, event, circumstance, or development arising from or relating to: (a) any action required by this Agreement or any action taken (or omitted to be taken) with the written consent of or at the written request of the Buyer; (b) the Bankruptcy Case and/or the requirements of any budget in connection with any debtor-in-possession financing or use of cash collateral; (c) the announcement, pendency or completion of the transactions contemplated by this Agreement, including losses or threatened losses of employees, customers, suppliers, distributors or others having relationships with Seller; (d) any failure of Seller to meet any internal or published projections, forecasts or revenue or earnings predictions; (e) general economic or political conditions (except to the extent that such Effect has had or would reasonably be expected to have a disproportionate adverse effect on Seller relative to comparable companies operating in the same industry); (f) any changes in financial, banking or securities markets in general, including any disruption thereof and any decline in the price of any security or any market index or any change in prevailing interest rates; (g) acts of war (whether or not declared), armed hostilities or terrorism, or the escalation or worsening thereof; (h) any changes in applicable Laws or accounting rules (including GAAP) or the enforcement, implementation or interpretation thereof; (i) any natural or man-made disaster or acts of God; or (j) any epidemics, pandemics, disease outbreaks, or other public health emergencies including, without limitation, the SARS-COV-2 virus or the related COVID-19 pandemic;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in the cases of clauses (a) through (j) above, such change, event, development, or effect shall only be considered in determining whether a Material Adverse Effect has occurred if such change, event, development, or effect impacts Seller materially and disproportionately to the impact that such change, event, development, or effect generally has upon other Persons operating in the same or substantially similar industries or markets as Seller. For the avoidance of doubt, neither the filing of the Bankruptcy Case, the filing of the Sale Motion or any actions taken in furtherance of the transactions contemplated by this Agreement, nor the consequences or effects of or changes or developments arising from the filing or any such actions shall be deemed to be a Material Adverse Event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Contracts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Customers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4.20(a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Suppliers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4.20(b)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Nonassignable Asset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Non-Automated Equipment</w:t>
      </w:r>
      <w:r>
        <w:rPr>
          <w:color w:val="000000"/>
        </w:rPr>
        <w:t xml:space="preserve">” </w:t>
      </w:r>
      <w:r>
        <w:rPr>
          <w:rFonts w:ascii="Times New Roman;sans-serif" w:hAnsi="Times New Roman;sans-serif"/>
          <w:b w:val="false"/>
          <w:color w:val="000000"/>
          <w:sz w:val="24"/>
        </w:rPr>
        <w:t xml:space="preserve">means the equipment, fixtures, vehicles and personal property secured by the Banc of America Loan as set forth on </w:t>
      </w:r>
      <w:r>
        <w:rPr>
          <w:rFonts w:ascii="Times New Roman;sans-serif" w:hAnsi="Times New Roman;sans-serif"/>
          <w:b w:val="false"/>
          <w:color w:val="000000"/>
          <w:sz w:val="24"/>
          <w:u w:val="single"/>
        </w:rPr>
        <w:t>Schedule 1.1</w:t>
      </w:r>
      <w:r>
        <w:rPr>
          <w:color w:val="000000"/>
        </w:rPr>
        <w:t xml:space="preserve"> </w:t>
      </w:r>
      <w:r>
        <w:rPr>
          <w:rFonts w:ascii="Times New Roman;sans-serif" w:hAnsi="Times New Roman;sans-serif"/>
          <w:b w:val="false"/>
          <w:color w:val="000000"/>
          <w:sz w:val="24"/>
        </w:rPr>
        <w:t xml:space="preserve">under the heading “Non-Automated Equipment” but excluding (for avoidance of doubt) any warehouse automation equipment or systems and any fixtures or personal property related to such equipment or system.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Non-Automated Equipment Price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4.19(a)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Order</w:t>
      </w:r>
      <w:r>
        <w:rPr>
          <w:color w:val="000000"/>
        </w:rPr>
        <w:t xml:space="preserve">” </w:t>
      </w:r>
      <w:r>
        <w:rPr>
          <w:rFonts w:ascii="Times New Roman;sans-serif" w:hAnsi="Times New Roman;sans-serif"/>
          <w:b w:val="false"/>
          <w:color w:val="000000"/>
          <w:sz w:val="24"/>
        </w:rPr>
        <w:t>means any award, injunction, judgment, decree, order, ruling, subpoena or verdict or other decision issued, promulgated or entered by any Governmental Entity of competent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0520"/>
                <wp:effectExtent l="0" t="0" r="0" b="0"/>
                <wp:wrapNone/>
                <wp:docPr id="209" name="Frame2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Ordinary Course of Business</w:t>
      </w:r>
      <w:r>
        <w:rPr>
          <w:color w:val="000000"/>
        </w:rPr>
        <w:t xml:space="preserve">” </w:t>
      </w:r>
      <w:r>
        <w:rPr>
          <w:rFonts w:ascii="Times New Roman;sans-serif" w:hAnsi="Times New Roman;sans-serif"/>
          <w:b w:val="false"/>
          <w:color w:val="000000"/>
          <w:sz w:val="24"/>
        </w:rPr>
        <w:t>means, with respect to Seller, the ordinary course of business consistent with its past custom and practice, subject to changes in operations resulting from Seller operating as a distressed business with limited liquidity, very significant reductions in personnel, and subject to changes resulting from the filing and/or pendency of the Bankruptcy Case or the requirements of any debtor in possession financing in the Bankruptcy Case.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Organizational Documents</w:t>
      </w:r>
      <w:r>
        <w:rPr>
          <w:color w:val="000000"/>
        </w:rPr>
        <w:t xml:space="preserve">” </w:t>
      </w:r>
      <w:r>
        <w:rPr>
          <w:rFonts w:ascii="Times New Roman;sans-serif" w:hAnsi="Times New Roman;sans-serif"/>
          <w:b w:val="false"/>
          <w:color w:val="000000"/>
          <w:sz w:val="24"/>
        </w:rPr>
        <w:t>means, with respect to any entity, as applicable, the certificate of incorporation, articles of incorporation, bylaws, articles of organization, partnership agreement, limited liability company agreement, formation agreement, joint venture agreement and other similar organizational documents of such entity (in each case, as amended through the date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Outside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has the meaning set forth in the Preamble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w:t>
      </w:r>
      <w:r>
        <w:rPr>
          <w:color w:val="000000"/>
        </w:rPr>
        <w:t xml:space="preserve">” </w:t>
      </w:r>
      <w:r>
        <w:rPr>
          <w:rFonts w:ascii="Times New Roman;sans-serif" w:hAnsi="Times New Roman;sans-serif"/>
          <w:b w:val="false"/>
          <w:color w:val="000000"/>
          <w:sz w:val="24"/>
        </w:rPr>
        <w:t>means any authorization, approval, consent, certificate, governmental license, registration, variance, exemption, order, exemption, qualification, waiver, permit or franchise of or from any Governmental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means: (a) Liens for Taxes that are not yet due and payable or that are being contested in good faith by appropriate proceedings, in each case, solely to the extent set forth on Seller’s financial statements in accordance with GAAP; (b) statutory Liens (or contractual restatements thereof) of landlords and workers’, carriers’, materialmen’s, suppliers’ and mechanics’ or other like Liens incurred in the Ordinary Course of Business; (c) Liens granted in favor of Wells Fargo Bank, N.A. under its senior secured credit facility and purchase money Liens on fixed assets or the interests of lessors under capital leases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 respect thereof; (d) purported Liens evidenced by the filing of UCC financing statements relating solely to funded debt or operating leases or consignment or bailee arrangements; (e) any right, interest, Lien or title of a licensor, sublicensor, licensee, sublicensee, lessor or sublessor under any license, sublicense, lease, sublease or other similar agreement or in the property being leased or licensed; (f) with regard to any real property, (i) any zoning, building codes and other land use Laws regulating the use or occupancy of real property or the activities conducted thereon, (ii) any zoning restrictions, easements and other reservations, covenants, conditions, oil and gas leases, mineral severances and Liens, (iii) any easements, rights</w:t>
      </w:r>
      <w:r>
        <w:rPr>
          <w:rFonts w:ascii="Cambria Math;serif" w:hAnsi="Cambria Math;serif"/>
          <w:b w:val="false"/>
          <w:color w:val="000000"/>
          <w:sz w:val="24"/>
        </w:rPr>
        <w:t>-</w:t>
      </w:r>
      <w:r>
        <w:rPr>
          <w:rFonts w:ascii="Times New Roman;sans-serif" w:hAnsi="Times New Roman;sans-serif"/>
          <w:b w:val="false"/>
          <w:color w:val="000000"/>
          <w:sz w:val="24"/>
        </w:rPr>
        <w:t>of</w:t>
      </w:r>
      <w:r>
        <w:rPr>
          <w:rFonts w:ascii="Cambria Math;serif" w:hAnsi="Cambria Math;serif"/>
          <w:b w:val="false"/>
          <w:color w:val="000000"/>
          <w:sz w:val="24"/>
        </w:rPr>
        <w:t>-</w:t>
      </w:r>
      <w:r>
        <w:rPr>
          <w:rFonts w:ascii="Times New Roman;sans-serif" w:hAnsi="Times New Roman;sans-serif"/>
          <w:b w:val="false"/>
          <w:color w:val="000000"/>
          <w:sz w:val="24"/>
        </w:rPr>
        <w:t xml:space="preserve">way, building or use restrictions, prescriptive rights, encroachments, protrusions, rights and party walls, and (iv) any matters that would be disclosed by an accurate survey or inspection of the real property used by Seller or any Purchased Subsidiary, in each case, only to the extent that such Liens do not materially and adversely affect Seller or any Purchased Subsidiary; (g) any and all Liens encumbering the underlying fee interest of the Leased Real Property only to the extent that such Liens do not materially and adversely affect Seller or any Purchased Subsidiary; (h) pledges and deposits made in the ordinary course of business in compliance with worker’s compensation or other unemployment insurance, and other social security laws or regulations; (i) Liens granted in the Ordinary Course of Business on the unearned portion of insurance premiums securing the financing of insurance premiums; (j) Liens in favor of customs and revenue authorities arising as a matter of law to secure payment of customs duties in connection with the importation of goods; (k) Liens arising solely by virtue of any statutory or common law provisions relating to bankers’ liens, liens in favor of securities intermediaries, and rights of setoff or similar rights and remedies; and (l) Liens set forth on </w:t>
      </w:r>
      <w:r>
        <w:rPr>
          <w:rFonts w:ascii="Times New Roman;sans-serif" w:hAnsi="Times New Roman;sans-serif"/>
          <w:b w:val="false"/>
          <w:color w:val="000000"/>
          <w:sz w:val="24"/>
          <w:u w:val="single"/>
        </w:rPr>
        <w:t>Schedule 1.1(b)</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0520"/>
                <wp:effectExtent l="0" t="0" r="0" b="0"/>
                <wp:wrapNone/>
                <wp:docPr id="210" name="Frame2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a corporation, a partnership, a limited liability company, a trust, an unincorporated association, a Governmental Entity, or any other entity or body.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Personal Information</w:t>
      </w:r>
      <w:r>
        <w:rPr>
          <w:color w:val="000000"/>
        </w:rPr>
        <w:t xml:space="preserve">” </w:t>
      </w:r>
      <w:r>
        <w:rPr>
          <w:rFonts w:ascii="Times New Roman;sans-serif" w:hAnsi="Times New Roman;sans-serif"/>
          <w:b w:val="false"/>
          <w:color w:val="000000"/>
          <w:sz w:val="24"/>
        </w:rPr>
        <w:t xml:space="preserve">means any information that is considered “personally identifiable information,” “personal information” or “personal data” by any applicable Privacy Laws.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Privacy Laws</w:t>
      </w:r>
      <w:r>
        <w:rPr>
          <w:color w:val="000000"/>
        </w:rPr>
        <w:t xml:space="preserve">” </w:t>
      </w:r>
      <w:r>
        <w:rPr>
          <w:rFonts w:ascii="Times New Roman;sans-serif" w:hAnsi="Times New Roman;sans-serif"/>
          <w:b w:val="false"/>
          <w:color w:val="000000"/>
          <w:sz w:val="24"/>
        </w:rPr>
        <w:t xml:space="preserve">means any applicable Laws, regulations, and requirements relating to the data privacy, information security, data breach notification, and the processing of Personal Information, including as applicable, the Federal Trade Commission Act, General Data Protection Regulation (“GDPR”), and U.S. state privacy laws and regulations including the California Consumer Privacy Act.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Proceeding</w:t>
      </w:r>
      <w:r>
        <w:rPr>
          <w:color w:val="000000"/>
        </w:rPr>
        <w:t xml:space="preserve">” </w:t>
      </w:r>
      <w:r>
        <w:rPr>
          <w:rFonts w:ascii="Times New Roman;sans-serif" w:hAnsi="Times New Roman;sans-serif"/>
          <w:b w:val="false"/>
          <w:color w:val="000000"/>
          <w:sz w:val="24"/>
        </w:rPr>
        <w:t>means any action, suit, litigation, arbitration, proceeding, investigation (including any civil, criminal, administrative, investigative or appellate proceeding or any informal proceeding) or other dispute resolution proceeding before any Governmental Entity, arbitrator, regulatory body or any other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Procedures Order</w:t>
      </w:r>
      <w:r>
        <w:rPr>
          <w:color w:val="000000"/>
        </w:rPr>
        <w:t xml:space="preserve">” </w:t>
      </w:r>
      <w:r>
        <w:rPr>
          <w:rFonts w:ascii="Times New Roman;sans-serif" w:hAnsi="Times New Roman;sans-serif"/>
          <w:b w:val="false"/>
          <w:color w:val="000000"/>
          <w:sz w:val="24"/>
        </w:rPr>
        <w:t>is defined in the Recitals above.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Purchased Assets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Purchased Subsidiaries</w:t>
      </w:r>
      <w:r>
        <w:rPr>
          <w:color w:val="000000"/>
        </w:rPr>
        <w:t xml:space="preserve">” </w:t>
      </w:r>
      <w:r>
        <w:rPr>
          <w:rFonts w:ascii="Times New Roman;sans-serif" w:hAnsi="Times New Roman;sans-serif"/>
          <w:b w:val="false"/>
          <w:color w:val="000000"/>
          <w:sz w:val="24"/>
        </w:rPr>
        <w:t>has the meaning set forth in Section 2.1(j).</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 Price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Real Property Leases</w:t>
      </w:r>
      <w:r>
        <w:rPr>
          <w:color w:val="000000"/>
        </w:rPr>
        <w:t xml:space="preserve">” </w:t>
      </w:r>
      <w:r>
        <w:rPr>
          <w:rFonts w:ascii="Times New Roman;sans-serif" w:hAnsi="Times New Roman;sans-serif"/>
          <w:b w:val="false"/>
          <w:color w:val="000000"/>
          <w:sz w:val="24"/>
        </w:rPr>
        <w:t>means all leases, subleases, tenancy agreements, licenses, and other occupancy Contracts with respect to real property pursuant to which Seller or any Purchased Subsidiary is a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means disposing, discharging, injecting, spilling, leaking, pumping, pouring, leaching, dumping, emitting, escaping or emptying into or upon the indoor or outdoor environment, including any soil, sediment, subsurface strata, surface water, drinking water, ground water, ambient air, the atmosphere or any other media.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Registered IP</w:t>
      </w:r>
      <w:r>
        <w:rPr>
          <w:color w:val="000000"/>
        </w:rPr>
        <w:t xml:space="preserve">” </w:t>
      </w:r>
      <w:r>
        <w:rPr>
          <w:rFonts w:ascii="Times New Roman;sans-serif" w:hAnsi="Times New Roman;sans-serif"/>
          <w:b w:val="false"/>
          <w:color w:val="000000"/>
          <w:sz w:val="24"/>
        </w:rPr>
        <w:t>means all Seller IP that is registered, filed, pending or issued under the authority of, with or by any Governmental Entity and all applications for any of the foregoing and renewals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Representatives</w:t>
      </w:r>
      <w:r>
        <w:rPr>
          <w:color w:val="000000"/>
        </w:rPr>
        <w:t xml:space="preserve">” </w:t>
      </w:r>
      <w:r>
        <w:rPr>
          <w:rFonts w:ascii="Times New Roman;sans-serif" w:hAnsi="Times New Roman;sans-serif"/>
          <w:b w:val="false"/>
          <w:color w:val="000000"/>
          <w:sz w:val="24"/>
        </w:rPr>
        <w:t>with respect to a particular Person shall mean the directors, managers, officers, employees, consultants, financial advisors, counsel, accountants and other authorized representatives and agents of such Person and any successors in interest thereto, including attorneys, accountants, consultant, investment bankers, financial and restructuring advisors.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Retained Liabilities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2.4(b)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Sale Motion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6.6(a)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Schedule Supplement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Security Incident</w:t>
      </w:r>
      <w:r>
        <w:rPr>
          <w:color w:val="000000"/>
        </w:rPr>
        <w:t xml:space="preserve">” </w:t>
      </w:r>
      <w:r>
        <w:rPr>
          <w:rFonts w:ascii="Times New Roman;sans-serif" w:hAnsi="Times New Roman;sans-serif"/>
          <w:b w:val="false"/>
          <w:color w:val="000000"/>
          <w:sz w:val="24"/>
        </w:rPr>
        <w:t>means any breach of the security of or other unauthorized access to or use of or other compromise to the integrity or availability of the IT Systems and the data and information stored thereon.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has the meaning set forth in the Preamble hereto.</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0520"/>
                <wp:effectExtent l="0" t="0" r="0" b="0"/>
                <wp:wrapNone/>
                <wp:docPr id="211" name="Frame2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Closing Certificate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8.1(c)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Closing 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Disclosure Schedules</w:t>
      </w:r>
      <w:r>
        <w:rPr>
          <w:color w:val="000000"/>
        </w:rPr>
        <w:t xml:space="preserve">” </w:t>
      </w:r>
      <w:r>
        <w:rPr>
          <w:rFonts w:ascii="Times New Roman;sans-serif" w:hAnsi="Times New Roman;sans-serif"/>
          <w:b w:val="false"/>
          <w:color w:val="000000"/>
          <w:sz w:val="24"/>
        </w:rPr>
        <w:t>means the disclosure schedules delivered by Seller concurrently with the execution and delivery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IP</w:t>
      </w:r>
      <w:r>
        <w:rPr>
          <w:color w:val="000000"/>
        </w:rPr>
        <w:t xml:space="preserve">” </w:t>
      </w:r>
      <w:r>
        <w:rPr>
          <w:rFonts w:ascii="Times New Roman;sans-serif" w:hAnsi="Times New Roman;sans-serif"/>
          <w:b w:val="false"/>
          <w:color w:val="000000"/>
          <w:sz w:val="24"/>
        </w:rPr>
        <w:t>means all Intellectual Property owned by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Seller’s Knowledge</w:t>
      </w:r>
      <w:r>
        <w:rPr>
          <w:color w:val="000000"/>
        </w:rPr>
        <w:t xml:space="preserve">” </w:t>
      </w:r>
      <w:r>
        <w:rPr>
          <w:rFonts w:ascii="Times New Roman;sans-serif" w:hAnsi="Times New Roman;sans-serif"/>
          <w:b w:val="false"/>
          <w:color w:val="000000"/>
          <w:sz w:val="24"/>
        </w:rPr>
        <w:t>or any similar phrase means the actual, current knowledge after reasonable due inquiry of Marshall Bernes, Kean Jin Ooi, Josh Dannett, Melissa Gelbart and Gayla Bella only. For the avoidance of doubt, none of such individuals shall have any personal liability or obligations regarding such knowledge.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SKU</w:t>
      </w:r>
      <w:r>
        <w:rPr>
          <w:color w:val="000000"/>
        </w:rPr>
        <w:t xml:space="preserve">” </w:t>
      </w:r>
      <w:r>
        <w:rPr>
          <w:rFonts w:ascii="Times New Roman;sans-serif" w:hAnsi="Times New Roman;sans-serif"/>
          <w:b w:val="false"/>
          <w:color w:val="000000"/>
          <w:sz w:val="24"/>
        </w:rPr>
        <w:t>means a unique identification number that defines an item at the identifiable inventory level.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Tangible Personal Property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Target Net Working Capital</w:t>
      </w:r>
      <w:r>
        <w:rPr>
          <w:color w:val="000000"/>
        </w:rPr>
        <w:t xml:space="preserve">” </w:t>
      </w:r>
      <w:r>
        <w:rPr>
          <w:rFonts w:ascii="Times New Roman;sans-serif" w:hAnsi="Times New Roman;sans-serif"/>
          <w:b w:val="false"/>
          <w:color w:val="000000"/>
          <w:sz w:val="24"/>
        </w:rPr>
        <w:t xml:space="preserve">means $45,938,903.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all U.S. federal, state, provincial, local and foreign income, profits, franchise, license, gross receipts, occupation, premium, windfall profits, environmental, customs, duties, capital stock, severance, stamp, payroll, sales, employment, unemployment, disability, use, ad valorem, recapture, unclaimed property, escheat, personal and real property, withholding, excise, production, transfer, alternative minimum, registration, value added, occupancy, estimated and other taxes, charges, fees, levies, or other like assessments, including any interest, penalty, or addition thereto, whether disputed or not.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 Returns</w:t>
      </w:r>
      <w:r>
        <w:rPr>
          <w:color w:val="000000"/>
        </w:rPr>
        <w:t xml:space="preserve">” </w:t>
      </w:r>
      <w:r>
        <w:rPr>
          <w:rFonts w:ascii="Times New Roman;sans-serif" w:hAnsi="Times New Roman;sans-serif"/>
          <w:b w:val="false"/>
          <w:color w:val="000000"/>
          <w:sz w:val="24"/>
        </w:rPr>
        <w:t>any return, declaration, report, claim for refund, or information return or statement relating to Taxes, including any schedule or attachment thereto, and including any amendment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Termination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9.2(b)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Transfer Taxes</w:t>
      </w:r>
      <w:r>
        <w:rPr>
          <w:color w:val="000000"/>
        </w:rPr>
        <w:t xml:space="preserve">” </w:t>
      </w:r>
      <w:r>
        <w:rPr>
          <w:rFonts w:ascii="Times New Roman;sans-serif" w:hAnsi="Times New Roman;sans-serif"/>
          <w:b w:val="false"/>
          <w:color w:val="000000"/>
          <w:sz w:val="24"/>
        </w:rPr>
        <w:t>means sales, use, transfer, real property transfer, recording, documentary, stamp, registration and stock transfer Taxes and any similar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United States</w:t>
      </w:r>
      <w:r>
        <w:rPr>
          <w:color w:val="000000"/>
        </w:rPr>
        <w:t xml:space="preserve">” </w:t>
      </w:r>
      <w:r>
        <w:rPr>
          <w:rFonts w:ascii="Times New Roman;sans-serif" w:hAnsi="Times New Roman;sans-serif"/>
          <w:b w:val="false"/>
          <w:color w:val="000000"/>
          <w:sz w:val="24"/>
        </w:rPr>
        <w:t>means the United States of America.</w: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u w:val="single"/>
        </w:rPr>
        <w:br/>
        <w:t>PURCHASE AND SALE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Purchased Assets</w:t>
      </w:r>
      <w:r>
        <w:rPr>
          <w:rFonts w:ascii="Times New Roman;sans-serif" w:hAnsi="Times New Roman;sans-serif"/>
          <w:b w:val="false"/>
          <w:color w:val="000000"/>
          <w:sz w:val="24"/>
        </w:rPr>
        <w:t>. Upon the terms and subject to the conditions of this Agreement, at the Closing, Seller shall sell, transfer, assign, convey and deliver to Buyer, and Buyer shall purchase from Seller, free and clear to the extent provided in the Approval Order of all Liens, all of Seller’s right, title and interest in and to all of Seller’s property and assets, real, personal or mixed, tangible and intangible, held for use or used in the Business, wherever located (collectively, the “</w:t>
      </w:r>
      <w:r>
        <w:rPr>
          <w:rFonts w:ascii="Times New Roman;sans-serif" w:hAnsi="Times New Roman;sans-serif"/>
          <w:b w:val="false"/>
          <w:color w:val="000000"/>
          <w:sz w:val="24"/>
          <w:u w:val="single"/>
        </w:rPr>
        <w:t>Purchased Assets</w:t>
      </w:r>
      <w:r>
        <w:rPr>
          <w:color w:val="000000"/>
        </w:rPr>
        <w:t>”</w:t>
      </w:r>
      <w:r>
        <w:rPr>
          <w:rFonts w:ascii="Times New Roman;sans-serif" w:hAnsi="Times New Roman;sans-serif"/>
          <w:b w:val="false"/>
          <w:color w:val="000000"/>
          <w:sz w:val="24"/>
        </w:rPr>
        <w:t>), as follows (but excluding, for avoidance of doubt, all of the Excluded Assets):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accounts and notes receivable (whether current or non-current), including, without limitation, the Accounts Receivable, and all causes of action specifically pertaining to the collection of the foregoing, in each case to the extent arising exclusively out of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0520"/>
                <wp:effectExtent l="0" t="0" r="0" b="0"/>
                <wp:wrapNone/>
                <wp:docPr id="212"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the operation of the Business (excluding any intercompany Accounts Receivable between and among Seller), including, without limitation, but subject to updating by Seller prior to the Closing to reflect activity during the period following mutual execution and delivery of this Agreement, the items set forth in </w:t>
      </w:r>
      <w:r>
        <w:rPr>
          <w:rFonts w:ascii="Times New Roman;sans-serif" w:hAnsi="Times New Roman;sans-serif"/>
          <w:b w:val="false"/>
          <w:color w:val="000000"/>
          <w:sz w:val="24"/>
          <w:u w:val="single"/>
        </w:rPr>
        <w:t>Schedule 2.1(a)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tangible personal property, including computer hardware, manufacturing equipment, office equipment, accessories, machinery, furniture, and fixtures owned by Seller as of the Closing and listed or set forth on </w:t>
      </w:r>
      <w:r>
        <w:rPr>
          <w:rFonts w:ascii="Times New Roman;sans-serif" w:hAnsi="Times New Roman;sans-serif"/>
          <w:b w:val="false"/>
          <w:color w:val="000000"/>
          <w:sz w:val="24"/>
          <w:u w:val="single"/>
        </w:rPr>
        <w:t>Schedule 2.1(b)</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val="false"/>
          <w:color w:val="000000"/>
          <w:sz w:val="24"/>
          <w:u w:val="single"/>
        </w:rPr>
        <w:t>Tangible Personal Property</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supplies, goods, materials, work in process, inventory and stock in trade owned and held by Seller for use in connection with the operation of the Business;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all of Seller’s rights under the Contracts identified on </w:t>
      </w:r>
      <w:r>
        <w:rPr>
          <w:rFonts w:ascii="Times New Roman;sans-serif" w:hAnsi="Times New Roman;sans-serif"/>
          <w:b w:val="false"/>
          <w:color w:val="000000"/>
          <w:sz w:val="24"/>
          <w:u w:val="single"/>
        </w:rPr>
        <w:t>Schedule 2.1(d)</w:t>
      </w:r>
      <w:r>
        <w:rPr>
          <w:color w:val="000000"/>
        </w:rPr>
        <w:t xml:space="preserve"> </w:t>
      </w:r>
      <w:r>
        <w:rPr>
          <w:rFonts w:ascii="Times New Roman;sans-serif" w:hAnsi="Times New Roman;sans-serif"/>
          <w:b w:val="false"/>
          <w:color w:val="000000"/>
          <w:sz w:val="24"/>
        </w:rPr>
        <w:t xml:space="preserve">which remain on Schedule 2.1(d) at Buyer’s election subject to the provisions of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val="false"/>
          <w:color w:val="000000"/>
          <w:sz w:val="24"/>
          <w:u w:val="single"/>
        </w:rPr>
        <w:t>Assigned Contracts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all of Seller’s rights relating to deposits and prepayments with respect to the Assigned Contracts, which deposits and prepayments are listed on </w:t>
      </w:r>
      <w:r>
        <w:rPr>
          <w:rFonts w:ascii="Times New Roman;sans-serif" w:hAnsi="Times New Roman;sans-serif"/>
          <w:b w:val="false"/>
          <w:color w:val="000000"/>
          <w:sz w:val="24"/>
          <w:u w:val="single"/>
        </w:rPr>
        <w:t>Schedule 2.1(e)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all Permits used by Seller or for the operation of the Business, including without limitation, those listed on </w:t>
      </w:r>
      <w:r>
        <w:rPr>
          <w:rFonts w:ascii="Times New Roman;sans-serif" w:hAnsi="Times New Roman;sans-serif"/>
          <w:b w:val="false"/>
          <w:color w:val="000000"/>
          <w:sz w:val="24"/>
          <w:u w:val="single"/>
        </w:rPr>
        <w:t>Schedule 2.1(f)</w:t>
      </w:r>
      <w:r>
        <w:rPr>
          <w:rFonts w:ascii="Times New Roman;sans-serif" w:hAnsi="Times New Roman;sans-serif"/>
          <w:b w:val="false"/>
          <w:color w:val="000000"/>
          <w:sz w:val="24"/>
        </w:rPr>
        <w:t>, in each case, to the extent transferrable and assignable;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all warranties (express and implied) that continue in effect with respect to any Purchased Asset (including, without limitation, warranties provided for under any Assigned Contract), to the extent assignable;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all Intellectual Property owned or held by Seller or any Purchased Subsidiary, including without limitation the name “Noble House Home Furnishings” and all rights and title to any other brands under which Seller or any Purchased Subsidiary distributes or has distributed its products (and all variants thereof) and all trademarks, trade names, service marks, domain names, websites and software programs identified with the Business, to the fullest extent permitted by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all intangible personal property owned or held by Seller, but in all cases only to the extent of Seller’s interest and only to the extent transferable including, without limitation, the customer and supplier relationships of the Business, the goodwill of the Business, processes, catalogues, customer lists and other customer data bases, advertising materials, and telephone numbers identified with the Business;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all equity interests in Noble Home Furnishings Canada, Inc., Noble House Home Furnishings UK Limited, Noble House Home Furnishings, S. De R.L. De C.V., Noble House Home Furnishings (HK) Limited, Noble House Home Furnishings Vietnam Company Limited, Noble House Home Furnishings (MY) Sdn. Bhd, Fujian Baimei Electronic Commerce Co., Ltd. and Baimei (Fujian) Network Information Technology Co., Ltd (collectively, the “</w:t>
      </w:r>
      <w:r>
        <w:rPr>
          <w:rFonts w:ascii="Times New Roman;sans-serif" w:hAnsi="Times New Roman;sans-serif"/>
          <w:b w:val="false"/>
          <w:color w:val="000000"/>
          <w:sz w:val="24"/>
          <w:u w:val="single"/>
        </w:rPr>
        <w:t>Purchased Subsidiaries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all Books and Records, except as specifically provided in </w:t>
      </w:r>
      <w:r>
        <w:rPr>
          <w:rFonts w:ascii="Times New Roman;sans-serif" w:hAnsi="Times New Roman;sans-serif"/>
          <w:b w:val="false"/>
          <w:color w:val="000000"/>
          <w:sz w:val="24"/>
          <w:u w:val="single"/>
        </w:rPr>
        <w:t>Section 2.2(j)</w:t>
      </w:r>
      <w:r>
        <w:rPr>
          <w:rFonts w:ascii="Times New Roman;sans-serif" w:hAnsi="Times New Roman;sans-serif"/>
          <w:b w:val="false"/>
          <w:color w:val="000000"/>
          <w:sz w:val="24"/>
        </w:rPr>
        <w:t>;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 xml:space="preserve">all claims or causes of action of Seller, including all preference or avoidance claims and actions of Seller arising under Sections 544, 547, 548, 549, and 550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0520"/>
                <wp:effectExtent l="0" t="0" r="0" b="0"/>
                <wp:wrapNone/>
                <wp:docPr id="213"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Bankruptcy Code as against any vendor or supplier to the Business,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i/>
          <w:color w:val="000000"/>
          <w:sz w:val="24"/>
        </w:rPr>
        <w:t>that</w:t>
      </w:r>
      <w:r>
        <w:rPr>
          <w:color w:val="000000"/>
        </w:rPr>
        <w:t xml:space="preserve"> </w:t>
      </w:r>
      <w:r>
        <w:rPr>
          <w:rFonts w:ascii="Times New Roman;sans-serif" w:hAnsi="Times New Roman;sans-serif"/>
          <w:b w:val="false"/>
          <w:color w:val="000000"/>
          <w:sz w:val="24"/>
        </w:rPr>
        <w:t>all such preference or avoidance claims and actions of Seller shall be deemed waived upon Closing.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Excluded Assets</w:t>
      </w:r>
      <w:r>
        <w:rPr>
          <w:rFonts w:ascii="Times New Roman;sans-serif" w:hAnsi="Times New Roman;sans-serif"/>
          <w:b w:val="false"/>
          <w:color w:val="000000"/>
          <w:sz w:val="24"/>
        </w:rPr>
        <w:t>. Seller and Buyer expressly agree and acknowledge that the Purchased Assets will not include any assets of any kind, nature, character or description (whether real, personal or mixed, whether tangible or intangible, whether absolute, accrued, contingent, fixed or otherwise, and wherever situated) that are not expressly included within the definition of Purchased Assets (the “</w:t>
      </w:r>
      <w:r>
        <w:rPr>
          <w:rFonts w:ascii="Times New Roman;sans-serif" w:hAnsi="Times New Roman;sans-serif"/>
          <w:b w:val="false"/>
          <w:color w:val="000000"/>
          <w:sz w:val="24"/>
          <w:u w:val="single"/>
        </w:rPr>
        <w:t>Excluded Assets</w:t>
      </w:r>
      <w:r>
        <w:rPr>
          <w:color w:val="000000"/>
        </w:rPr>
        <w:t>”</w:t>
      </w:r>
      <w:r>
        <w:rPr>
          <w:rFonts w:ascii="Times New Roman;sans-serif" w:hAnsi="Times New Roman;sans-serif"/>
          <w:b w:val="false"/>
          <w:color w:val="000000"/>
          <w:sz w:val="24"/>
        </w:rPr>
        <w:t>), including, without limitation the following assets and properties all of which Seller shall retain as Excluded Assets):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all cash and cash equivalents (including bank account balances, certificates of deposit and other time deposits and petty cash) and marketable and other securities;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rights under this Agreement and any Ancillary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all cash deposits and prepaid items other than those described in </w:t>
      </w:r>
      <w:r>
        <w:rPr>
          <w:rFonts w:ascii="Times New Roman;sans-serif" w:hAnsi="Times New Roman;sans-serif"/>
          <w:b w:val="false"/>
          <w:color w:val="000000"/>
          <w:sz w:val="24"/>
          <w:u w:val="single"/>
        </w:rPr>
        <w:t>Section 2.1(e)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equity interests in Seller and in any subsidiaries of Seller that are not Purchased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all Benefit Plans (including all trusts, insurance policies and administration service Contracts related thereto), and all assets in respect of any Benefit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(i) any intercompany Accounts Receivable between and among the entities that make up Seller and (ii) any Contracts between Seller, on the one hand, and any of its Affiliates, on the other hand; for the avoidance of doubt, all accounts, notes receivable or payable, or any other claims that may exist between and among Seller, on the one hand, and any of the Purchased Subsidiaries, on the other hand, whether characterized as an asset or a liability of either Seller or any Purchased Subsidiary, shall be deemed waived, released, and extinguished as of the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any Contract to which Seller is a party that (i) is not an Assigned Contract or (ii) is an Assigned Contract but is not assumable and assignable pursuant to the terms thereof or as a matter of applicable law (including, without limitation, any Assigned Contract with respect to which any consent requirement in favor of the counter-party thereto is not satisfied and may not be overridden pursuant to Section 365 of the Bankruptcy Code) (collectively, “</w:t>
      </w:r>
      <w:r>
        <w:rPr>
          <w:rFonts w:ascii="Times New Roman;sans-serif" w:hAnsi="Times New Roman;sans-serif"/>
          <w:b w:val="false"/>
          <w:color w:val="000000"/>
          <w:sz w:val="24"/>
          <w:u w:val="single"/>
        </w:rPr>
        <w:t>Excluded Contracts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organizational documents, minute books, member ledger, books of account or other records having to do with the limited liability company organization of Seller, and all employee related files or records, other than records related to the Transferred Employees;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all Tax assets (including Tax refunds and prepayments) and Tax Returns of Seller or any of its Affiliates, with respect to the Purchased Assets or the Business, for taxable periods ending on or prior to the Closing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any Books and Records which Seller is required by applicable Law to retain;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Seller shall provide Buyer with copies of any Books and Records relating primarily to the Business, the Purchased Assets and Assumed Liabilities at or prior to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0520"/>
                <wp:effectExtent l="0" t="0" r="0" b="0"/>
                <wp:wrapNone/>
                <wp:docPr id="214" name="Frame2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all insurance policies of Seller, and all benefits, rights and claims and proceeds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all refunds for prepaid insurance premiums or insurance prepayments, inc</w:t>
      </w:r>
      <w:r>
        <w:rPr>
          <w:rFonts w:ascii="Cambria;sans-serif" w:hAnsi="Cambria;sans-serif"/>
          <w:b w:val="false"/>
          <w:color w:val="000000"/>
          <w:sz w:val="24"/>
        </w:rPr>
        <w:t>luding any assets securing customs import bonds and other assets or deposits provided to insurance or surety companies issuing customs bonds for the payment of duties, taxes, fines or penalties associated with importing goods into the United States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except as provided in </w:t>
      </w:r>
      <w:r>
        <w:rPr>
          <w:rFonts w:ascii="Times New Roman;sans-serif" w:hAnsi="Times New Roman;sans-serif"/>
          <w:b w:val="false"/>
          <w:color w:val="000000"/>
          <w:sz w:val="24"/>
          <w:u w:val="single"/>
        </w:rPr>
        <w:t>Sections 2.1(d), (e), (g) and (l)</w:t>
      </w:r>
      <w:r>
        <w:rPr>
          <w:rFonts w:ascii="Times New Roman;sans-serif" w:hAnsi="Times New Roman;sans-serif"/>
          <w:b w:val="false"/>
          <w:color w:val="000000"/>
          <w:sz w:val="24"/>
        </w:rPr>
        <w:t>, all claims or causes of action of Seller, including all preference or avoidance claims and actions of Seller, including, without limitation, any such claims and actions arising under Sections 544, 547, 548, 549 and 550 of the Bankruptcy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any Tangible Personal Property held by Seller pursuant to a Contract where Buyer does not assume the underlying Contract relating to such Tangible Personal Property at the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any software or other item of intangible property (including Intellectual Property) held by Seller pursuant to a license or other Contract where Buyer does not assume the underlying Contract relating to such intangible personal property at the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 xml:space="preserve">any derivative contract, including interest rate swap, exchange rate hedge, any forward or option contracts or any other financial instrument which derives its value from an underlying asset and the value of which cannot be determined with certainty as of the date 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 xml:space="preserve">any equipment, fixture, vehicle or item of personal property secured by the Banc of America Loan which does not constitute Non-Automated Equipment; 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 xml:space="preserve">any assets specifically set forth or described on </w:t>
      </w:r>
      <w:r>
        <w:rPr>
          <w:rFonts w:ascii="Times New Roman;sans-serif" w:hAnsi="Times New Roman;sans-serif"/>
          <w:b w:val="false"/>
          <w:color w:val="000000"/>
          <w:sz w:val="24"/>
          <w:u w:val="single"/>
        </w:rPr>
        <w:t>Schedule 2.2(p)</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Nonassignable Assets; Deemed Consent; Additional Excluded Assets.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Nonassignable Assets</w:t>
      </w:r>
      <w:r>
        <w:rPr>
          <w:rFonts w:ascii="Times New Roman;sans-serif" w:hAnsi="Times New Roman;sans-serif"/>
          <w:b w:val="false"/>
          <w:color w:val="000000"/>
          <w:sz w:val="24"/>
        </w:rPr>
        <w:t>. Nothing in this Agreement, the Bill of Sale or the Contract Assignments or the consummation of the transactions contemplated hereby or thereby shall be construed as an attempt or agreement to assign or transfer any Purchased Asset (including any Assigned Contract or Permit) to Buyer which by its terms or by Law is not assignable or transferable without a consent or is cancelable by a third party in the event of an assignment or transfer (a “</w:t>
      </w:r>
      <w:r>
        <w:rPr>
          <w:rFonts w:ascii="Times New Roman;sans-serif" w:hAnsi="Times New Roman;sans-serif"/>
          <w:b w:val="false"/>
          <w:color w:val="000000"/>
          <w:sz w:val="24"/>
          <w:u w:val="single"/>
        </w:rPr>
        <w:t>Nonassignable Asset</w:t>
      </w:r>
      <w:r>
        <w:rPr>
          <w:color w:val="000000"/>
        </w:rPr>
        <w:t>”</w:t>
      </w:r>
      <w:r>
        <w:rPr>
          <w:rFonts w:ascii="Times New Roman;sans-serif" w:hAnsi="Times New Roman;sans-serif"/>
          <w:b w:val="false"/>
          <w:color w:val="000000"/>
          <w:sz w:val="24"/>
        </w:rPr>
        <w:t xml:space="preserve">), unless and until such consent shall have been obtained (including by virtue of the effect of the Approval Order rendering certain consents to be unnecessary) or Law satisfied. Seller and Buyer shall use diligent and reasonable best efforts to obtain any consent that may be required and satisfy any Law necessary to the assignment or transfer of a Nonassignable Asset to Buyer, and Seller shall take all such commercially reasonable actions as may be necessary to effect the assignment or transfer of the Nonassignable Asset. Unless and until any such consent that may be required is obtained or Law satisfied, Seller shall establish an arrangement reasonably satisfactory to Buyer under which Buyer would obtain the claims, rights and benefits and assume the corresponding liabilities and obligations under such Nonassignable Asset (including by means of any subcontracting, sublicensing or subleasing arrangement) or under which Seller would enforce for the benefit of Buyer, with Buyer assuming and agreeing to pay Seller’s obligations and reasonable expenses, any and all claims, rights and benefits of Seller against a third party thereto;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 xml:space="preserve">in no event shall Buyer be required to enter into any such arrangement with respect to any Nonassignable Asset for which a required consent is necessary. Seller shall promptly transmit over to Buyer all payments received by such Seller in respect of all Nonassignable Assets. If and when the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0520"/>
                <wp:effectExtent l="0" t="0" r="0" b="0"/>
                <wp:wrapNone/>
                <wp:docPr id="215" name="Frame2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consents or approvals, the absence of which caused the deferral of transfer of any Nonassignable Asset pursuant to this Section, are obtained, the transfer of the applicable Nonassignable Asset to Buyer shall automatically and without further action be effected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Deemed Consent</w:t>
      </w:r>
      <w:r>
        <w:rPr>
          <w:rFonts w:ascii="Times New Roman;sans-serif" w:hAnsi="Times New Roman;sans-serif"/>
          <w:b w:val="false"/>
          <w:color w:val="000000"/>
          <w:sz w:val="24"/>
        </w:rPr>
        <w:t>. As part of the Sale Motion (or, as necessary in one or more separate motions), Seller shall request that by providing adequate notice of its intent to assume and assign any Assigned Contract, if any, the Bankruptcy Court shall deem any non-debtor party to such Assigned Contract that does not file an objection with the Bankruptcy Court during the applicable notice period to have given any required consent to the assumption of the Assigned Contract by Seller and assignment to Buyer if, and to the extent that, pursuant to the Approval Order or other order of the Bankruptcy Court, Seller is authorized to assume and assign such Assigned Contract to Buyer and Buyer is authorized to accept such Assigned Contract pursuant to Section 365 of the Bankruptcy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Additional Excluded Assets</w:t>
      </w:r>
      <w:r>
        <w:rPr>
          <w:rFonts w:ascii="Times New Roman;sans-serif" w:hAnsi="Times New Roman;sans-serif"/>
          <w:b w:val="false"/>
          <w:color w:val="000000"/>
          <w:sz w:val="24"/>
        </w:rPr>
        <w:t xml:space="preserve">. Notwithstanding any other provision of this Agreement to the contrary, until three (3) Business Days prior to the Closing, Buyer will have the right, in its sole and absolute discretion, to provide written notice to Seller of Buyer’s election to designate any right, property, interest, Contract or other asset (or portion thereof) as an Excluded Asset (including any such asset that was immediately prior to such designation an Purchased Asset), and upon such designation such asset will constitute an Excluded Asset for all purposes of this Agreement. Similarly, notwithstanding any other provision of this Agreement to the contrary, until three (3) Business Days prior to the Closing, Buyer will have the right, in its sole and absolute discretion, to provide written notice to Seller of Buyer’s election to designate any Contract previously designated as an Excluded Asset as a Purchased Asset, and upon such designation such Contract will constitute a Purchased Asset for all purposes of this Agreement. If Buyer exercises its rights in this Section to designate any right, property, interest, Contract, or other asset (or portion thereof) as an Excluded Asset or any Contract as a Purchased Asset, then the Parties acknowledge and agree that while there may be resulting changes in the Assumed Liabilities as a result of such designation or change in designation, there will be no increase or reduction in the Purchase Price, nor will there be any delay to the Closing. For the avoidance of doubt, to the extent that Buyer designates any Contract or asset as an Excluded Asset at least three (3) days prior to Closing, no liabilities, whatsoever, arising from such asset or Contract shall be assumed by Buyer as Assumed Liabilities.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Liabilities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and conditions of this Agreement, at the Closing, Buyer shall assume and agree to perform, pursuant to the Bill of Sale and the Contract Assignments, as applicable, only the following Liabilities of Seller (collectively, the “</w:t>
      </w:r>
      <w:r>
        <w:rPr>
          <w:rFonts w:ascii="Times New Roman;sans-serif" w:hAnsi="Times New Roman;sans-serif"/>
          <w:b w:val="false"/>
          <w:color w:val="000000"/>
          <w:sz w:val="24"/>
          <w:u w:val="single"/>
        </w:rPr>
        <w:t>Assumed Liabilities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all Liabilities of Seller under the Assigned Contracts;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all Liabilities arising after the Closing Date with respect to the Purchased Assets or Buyer’s operation of the Business;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all cure obligations required to be paid pursuant to the Approval Order as a condition to Buyer’s assumption of the Assigned Contracts;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obligations to customers of Seller for refunds, rebates, returns, discounts and the like existing as of the Closing Date, including without limitation, those set forth on </w:t>
      </w:r>
      <w:r>
        <w:rPr>
          <w:rFonts w:ascii="Times New Roman;sans-serif" w:hAnsi="Times New Roman;sans-serif"/>
          <w:b w:val="false"/>
          <w:color w:val="000000"/>
          <w:sz w:val="24"/>
          <w:u w:val="single"/>
        </w:rPr>
        <w:t>Schedule 2.4(a)(iv</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0520"/>
                <wp:effectExtent l="0" t="0" r="0" b="0"/>
                <wp:wrapNone/>
                <wp:docPr id="216"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any product liability or warranty claims but only with respect to Products sold by Buyer following Closing;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all accounts payable, accrued expenses and other working capital liabilities of the Business that were incurred in the Ordinary Course of Business since the filing of the Bankruptcy Case and remained unpaid in the Ordinary Course of Business and which are outstanding as of the Closing;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Except for the Assumed Liabilities described in </w:t>
      </w:r>
      <w:r>
        <w:rPr>
          <w:rFonts w:ascii="Times New Roman;sans-serif" w:hAnsi="Times New Roman;sans-serif"/>
          <w:b w:val="false"/>
          <w:color w:val="000000"/>
          <w:sz w:val="24"/>
          <w:u w:val="single"/>
        </w:rPr>
        <w:t>Section 2.4(a)</w:t>
      </w:r>
      <w:r>
        <w:rPr>
          <w:rFonts w:ascii="Times New Roman;sans-serif" w:hAnsi="Times New Roman;sans-serif"/>
          <w:b w:val="false"/>
          <w:color w:val="000000"/>
          <w:sz w:val="24"/>
        </w:rPr>
        <w:t>, Buyer shall not assume, nor be obligated to pay, perform, satisfy or discharge, any Liability of Seller or any Affiliate of Seller (collectively, the “</w:t>
      </w:r>
      <w:r>
        <w:rPr>
          <w:rFonts w:ascii="Times New Roman;sans-serif" w:hAnsi="Times New Roman;sans-serif"/>
          <w:b w:val="false"/>
          <w:color w:val="000000"/>
          <w:sz w:val="24"/>
          <w:u w:val="single"/>
        </w:rPr>
        <w:t>Retained Liabilities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Purchase Price</w:t>
      </w:r>
      <w:r>
        <w:rPr>
          <w:rFonts w:ascii="Times New Roman;sans-serif" w:hAnsi="Times New Roman;sans-serif"/>
          <w:b w:val="false"/>
          <w:color w:val="000000"/>
          <w:sz w:val="24"/>
        </w:rPr>
        <w:t xml:space="preserve">. Subject to the provisions of this Agreement, the aggregate consideration to be paid by Buyer to Seller for the Purchased Assets shall be </w:t>
      </w:r>
      <w:r>
        <w:rPr>
          <w:rFonts w:ascii="Times New Roman;sans-serif" w:hAnsi="Times New Roman;sans-serif"/>
          <w:b/>
          <w:color w:val="000000"/>
          <w:sz w:val="24"/>
        </w:rPr>
        <w:t>Eighty-Five Million Dollars ($85,000,000.00)</w:t>
      </w:r>
      <w:r>
        <w:rPr>
          <w:rFonts w:ascii="Times New Roman;sans-serif" w:hAnsi="Times New Roman;sans-serif"/>
          <w:b w:val="false"/>
          <w:color w:val="000000"/>
          <w:sz w:val="24"/>
        </w:rPr>
        <w:t>, subject to adjustment or holdback solely as described in Section 2.6 (as so adjusted, the “</w:t>
      </w:r>
      <w:r>
        <w:rPr>
          <w:rFonts w:ascii="Times New Roman;sans-serif" w:hAnsi="Times New Roman;sans-serif"/>
          <w:b w:val="false"/>
          <w:color w:val="000000"/>
          <w:sz w:val="24"/>
          <w:u w:val="single"/>
        </w:rPr>
        <w:t>Base Purchase Price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an additional </w:t>
      </w:r>
      <w:r>
        <w:rPr>
          <w:rFonts w:ascii="Times New Roman;sans-serif" w:hAnsi="Times New Roman;sans-serif"/>
          <w:b/>
          <w:color w:val="000000"/>
          <w:sz w:val="24"/>
        </w:rPr>
        <w:t>Four Million One Hundred Thousand Dollars ($4,100,000.00)</w:t>
      </w:r>
      <w:r>
        <w:rPr>
          <w:color w:val="000000"/>
        </w:rPr>
        <w:t xml:space="preserve"> </w:t>
      </w:r>
      <w:r>
        <w:rPr>
          <w:rFonts w:ascii="Times New Roman;sans-serif" w:hAnsi="Times New Roman;sans-serif"/>
          <w:b w:val="false"/>
          <w:color w:val="000000"/>
          <w:sz w:val="24"/>
        </w:rPr>
        <w:t>to be allocated to Banc of America Leasing &amp; Capital, LLC for the Non-Automated Equipment (the “</w:t>
      </w:r>
      <w:r>
        <w:rPr>
          <w:rFonts w:ascii="Times New Roman;sans-serif" w:hAnsi="Times New Roman;sans-serif"/>
          <w:b w:val="false"/>
          <w:color w:val="000000"/>
          <w:sz w:val="24"/>
          <w:u w:val="single"/>
        </w:rPr>
        <w:t>Non-Automated Equipment Price</w:t>
      </w:r>
      <w:r>
        <w:rPr>
          <w:color w:val="000000"/>
        </w:rPr>
        <w:t xml:space="preserve">” </w:t>
      </w:r>
      <w:r>
        <w:rPr>
          <w:rFonts w:ascii="Times New Roman;sans-serif" w:hAnsi="Times New Roman;sans-serif"/>
          <w:b w:val="false"/>
          <w:color w:val="000000"/>
          <w:sz w:val="24"/>
        </w:rPr>
        <w:t>and, with the Base Purchase Price, the “</w:t>
      </w:r>
      <w:r>
        <w:rPr>
          <w:rFonts w:ascii="Times New Roman;sans-serif" w:hAnsi="Times New Roman;sans-serif"/>
          <w:b w:val="false"/>
          <w:color w:val="000000"/>
          <w:sz w:val="24"/>
          <w:u w:val="single"/>
        </w:rPr>
        <w:t>Purchase Price</w:t>
      </w:r>
      <w:r>
        <w:rPr>
          <w:color w:val="000000"/>
        </w:rPr>
        <w:t>”</w:t>
      </w:r>
      <w:r>
        <w:rPr>
          <w:rFonts w:ascii="Times New Roman;sans-serif" w:hAnsi="Times New Roman;sans-serif"/>
          <w:b w:val="false"/>
          <w:color w:val="000000"/>
          <w:sz w:val="24"/>
        </w:rPr>
        <w:t xml:space="preserve">). For the avoidance of doubt, the Non-Automated Equipment Price is offered solely to the extent such Non-Automated Equipment is included as Purchased Assets. The Purchase Price shall be paid as and when and otherwise in accordance with the provisions of </w:t>
      </w:r>
      <w:r>
        <w:rPr>
          <w:rFonts w:ascii="Times New Roman;sans-serif" w:hAnsi="Times New Roman;sans-serif"/>
          <w:b w:val="false"/>
          <w:color w:val="000000"/>
          <w:sz w:val="24"/>
          <w:u w:val="single"/>
        </w:rPr>
        <w:t>Sections 2.6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3.2(a).</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Adjustment to Base Purchase Price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Working Capital Adjustment</w:t>
      </w:r>
      <w:r>
        <w:rPr>
          <w:rFonts w:ascii="Times New Roman;sans-serif" w:hAnsi="Times New Roman;sans-serif"/>
          <w:b w:val="false"/>
          <w:color w:val="000000"/>
          <w:sz w:val="24"/>
        </w:rPr>
        <w:t xml:space="preserve">.  No less than three (3) days prior to Closing, Seller shall deliver to Buyer, in accordance with this Agreement, a good faith estimate of the Closing Date Net Working Capital, reflecting all components (and the amounts thereof) necessary to compute the Closing Date Net Working Capital, using the same methodology as was used to calculate the Target Net Working Capital in accordance with the illustrative calculation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Seller shall, upon Buyer’s request, make the work papers (including the work papers of its accountants), back-up materials and books and records used in preparing the Closing Date Net Working Capital estimate available to Buyer and its accountants. If Seller’s estimate of Closing Date Net Working Capital is less than the Target Net Working Capital by $500,000 or more, the Base Purchase Price shall be decreased, on a dollar-for-dollar basis, by an amount equal to the difference between the Target Net Working Capital and the Closing Date Net Working Capital. Likewise, if Seller’s estimate of Closing Date Net Working Capital is more than the Target Net Working Capital by $500,000 or more, the Base Purchase Price shall be increased, on a dollar-for-dollar basis, by an amount equal to the difference between the Closing Date Net Working Capital and the Target Net Working Capital.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Objections/Holdback</w:t>
      </w:r>
      <w:r>
        <w:rPr>
          <w:rFonts w:ascii="Times New Roman;sans-serif" w:hAnsi="Times New Roman;sans-serif"/>
          <w:b w:val="false"/>
          <w:color w:val="000000"/>
          <w:sz w:val="24"/>
        </w:rPr>
        <w:t>.  No later than twenty-one (21) days following Closing, Buyer shall deliver to Seller a final reconciliation of the Closing Date Net Working Capital. Seller shall have seven (7) days after delivery of such final reconciliation to object to any amount or computation appearing in the final reconciliation of Closing Date Net Working Capital. If Seller does not make any timely objection to such reconciliation, the Closing Date Net Working Capital as delivered by Buyer shall be final and binding on all Parties. If Seller objects to any item or computation appearing in the final Closing Date Net Working Capital, the Parties shall promptly attempt in good faith jointly to resolve such matters and shall adjust the Purchase Price as necessary to resolve the same. If the Parties cannot resolve all such matters within seven (7) days after any objection is asserted by Seller, either Buyer or Seller may engage an independent certified public accounting firm of (U.S.) national reputation mutually satisfactory to Buyer and Seller (a “</w:t>
      </w:r>
      <w:r>
        <w:rPr>
          <w:rFonts w:ascii="Times New Roman;sans-serif" w:hAnsi="Times New Roman;sans-serif"/>
          <w:b w:val="false"/>
          <w:color w:val="000000"/>
          <w:sz w:val="24"/>
          <w:u w:val="single"/>
        </w:rPr>
        <w:t>Neutral Accountant</w:t>
      </w:r>
      <w:r>
        <w:rPr>
          <w:color w:val="000000"/>
        </w:rPr>
        <w:t>”</w:t>
      </w:r>
      <w:r>
        <w:rPr>
          <w:rFonts w:ascii="Times New Roman;sans-serif" w:hAnsi="Times New Roman;sans-serif"/>
          <w:b w:val="false"/>
          <w:color w:val="000000"/>
          <w:sz w:val="24"/>
        </w:rPr>
        <w:t xml:space="preserve">) to resolve any items that remain in dispute.  Within seven (7) days following such engagement on notice thereof to the other Party, Buyer on the one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0520"/>
                <wp:effectExtent l="0" t="0" r="0" b="0"/>
                <wp:wrapNone/>
                <wp:docPr id="217" name="Frame2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hand, and Seller, on the other hand, shall present their respective position on the disputed items to the Neutral Accountant in writing, and Buyer and Seller shall direct the Neutral Accountant, within fourteen (14) days thereafter, acting as an expert and not an arbitrator, to resolve only the matters that were objected to by Seller and not resolved by the Buyer and Seller.  The resolution by the Neutral Accountant of such matters shall be within the range of the amounts claimed by the Seller in its objection and the amount claimed by Buyer pursuant to its final reconciliation and shall be binding on the Parties.  The fees, costs and expenses of the Neutral Accountant shall be allocated between Seller, on the one hand, and Buyer, on the other hand, in the same proportion that the aggregate amount of the disputed items submitted to the Neutral Accountant that are unsuccessfully disputed by each such Party (as finally determined by the Neutral Accountant) bears to the total amount of such disputed items so submitted. Pending final resolution of the Closing Date Net Working Capital, a portion of the Deposit in the amount of </w:t>
      </w:r>
      <w:r>
        <w:rPr>
          <w:rFonts w:ascii="Times New Roman;sans-serif" w:hAnsi="Times New Roman;sans-serif"/>
          <w:b/>
          <w:color w:val="000000"/>
          <w:sz w:val="24"/>
        </w:rPr>
        <w:t>$5,000,000</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Holdback Amount</w:t>
      </w:r>
      <w:r>
        <w:rPr>
          <w:color w:val="000000"/>
        </w:rPr>
        <w:t>”</w:t>
      </w:r>
      <w:r>
        <w:rPr>
          <w:rFonts w:ascii="Times New Roman;sans-serif" w:hAnsi="Times New Roman;sans-serif"/>
          <w:b w:val="false"/>
          <w:color w:val="000000"/>
          <w:sz w:val="24"/>
        </w:rPr>
        <w:t xml:space="preserve">) shall be held back from delivery to Seller at Closing solely for the purpose of satisfying any negative adjustment to the Closing Date Net Working Capital that may be required under this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xml:space="preserve">. Once the final Closing Date Net Working Capital is determined consistent with the provisions of this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(to the extent such final adjustment does not require payment to Buyer of an amount in excess of such Holdback Amount, in which case such excess shall also be paid), the Holdback Amount or that portion of the Holdback Amount required to address a negative adjustment shall be paid to Buyer, and the remainder of the Holdback Amount, if any, shall be promptly released to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 Modifications</w:t>
      </w:r>
      <w:r>
        <w:rPr>
          <w:rFonts w:ascii="Times New Roman;sans-serif" w:hAnsi="Times New Roman;sans-serif"/>
          <w:b w:val="false"/>
          <w:color w:val="000000"/>
          <w:sz w:val="24"/>
        </w:rPr>
        <w:t>. Seller agrees that following the date of this Agreement, neither Seller nor any Purchased Subsidiary will take any actions, with respect to any accounting books, records, policies or procedures upon which the amounts set forth in the Current Assets and Current Liabilities would reasonably be expected to be based that would impede or delay the determination of the Closing Date Net Working Capital.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Withholding</w:t>
      </w:r>
      <w:r>
        <w:rPr>
          <w:rFonts w:ascii="Times New Roman;sans-serif" w:hAnsi="Times New Roman;sans-serif"/>
          <w:b w:val="false"/>
          <w:color w:val="000000"/>
          <w:sz w:val="24"/>
        </w:rPr>
        <w:t xml:space="preserve">. Notwithstanding any provision hereof to the contrary, each of Buyer, Seller, and any of their Affiliates shall be entitled to deduct and withhold from any consideration otherwise payable under the terms of this Agreement such amounts as it is required to deduct and withhold pursuant to any provision of Law, including those related to or regarding Taxes;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no such withholding shall apply to any payments to Seller hereunder unless Buyer has provided Seller with at least 10 days advance written notice of Buyer’s intent to withhold and Buyer reasonably cooperates with Seller to minimize or eliminate such withholding. To the extent that amounts are so deducted and withheld, such withheld amounts shall be treated for all purposes of this Agreement as having been paid to the Person in respect of which such deduction and withholding was made.</w:t>
      </w:r>
    </w:p>
    <w:p>
      <w:pPr>
        <w:pStyle w:val="TextBody"/>
        <w:bidi w:val="0"/>
        <w:spacing w:lineRule="auto" w:line="240"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u w:val="single"/>
        </w:rPr>
        <w:br/>
        <w:t>CLOSING; PAYMENT OF PURCHASE PRICE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Closing</w:t>
      </w:r>
      <w:r>
        <w:rPr>
          <w:rFonts w:ascii="Times New Roman;sans-serif" w:hAnsi="Times New Roman;sans-serif"/>
          <w:b w:val="false"/>
          <w:color w:val="000000"/>
          <w:sz w:val="24"/>
        </w:rPr>
        <w:t xml:space="preserve">. Unless this Agreement shall have been terminated in accordance with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the Parties shall consummate the transactions contemplated by this Agreement (the “</w:t>
      </w:r>
      <w:r>
        <w:rPr>
          <w:rFonts w:ascii="Times New Roman;sans-serif" w:hAnsi="Times New Roman;sans-serif"/>
          <w:b w:val="false"/>
          <w:color w:val="000000"/>
          <w:sz w:val="24"/>
          <w:u w:val="single"/>
        </w:rPr>
        <w:t>Closing</w:t>
      </w:r>
      <w:r>
        <w:rPr>
          <w:color w:val="000000"/>
        </w:rPr>
        <w:t>”</w:t>
      </w:r>
      <w:r>
        <w:rPr>
          <w:rFonts w:ascii="Times New Roman;sans-serif" w:hAnsi="Times New Roman;sans-serif"/>
          <w:b w:val="false"/>
          <w:color w:val="000000"/>
          <w:sz w:val="24"/>
        </w:rPr>
        <w:t xml:space="preserve">), as promptly as practicable but in no event later than three (3) Business Days after the date on which all conditions set forth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(except those conditions that are to be satisfied at Closing) have been satisfied (or waived by the Party entitled to the benefit of the same), with such Closing to occur at 11:00 a.m., Central time, or at such other place, date and time as the Parties shall mutually agree in writing (the date on which the Closing occurs, the “</w:t>
      </w:r>
      <w:r>
        <w:rPr>
          <w:rFonts w:ascii="Times New Roman;sans-serif" w:hAnsi="Times New Roman;sans-serif"/>
          <w:b w:val="false"/>
          <w:color w:val="000000"/>
          <w:sz w:val="24"/>
          <w:u w:val="single"/>
        </w:rPr>
        <w:t>Closing Date</w:t>
      </w:r>
      <w:r>
        <w:rPr>
          <w:color w:val="000000"/>
        </w:rPr>
        <w:t>”</w:t>
      </w:r>
      <w:r>
        <w:rPr>
          <w:rFonts w:ascii="Times New Roman;sans-serif" w:hAnsi="Times New Roman;sans-serif"/>
          <w:b w:val="false"/>
          <w:color w:val="000000"/>
          <w:sz w:val="24"/>
        </w:rPr>
        <w:t>). The Closing shall take place via electronic exchange of executed documents and other closing deliveries via email on the Closing Date. The effective time of Closing shall be 11:59 p.m., Central time on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Closing Deliveries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0520"/>
                <wp:effectExtent l="0" t="0" r="0" b="0"/>
                <wp:wrapNone/>
                <wp:docPr id="218" name="Frame2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Payment of Purchase Price</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Concurrently with the mutual execution and delivery of this Agreement (or on the first Business Day thereafter), Buyer shall deliver to counsel for Seller, Pachulski Stang Ziehl &amp; Jones LLP, an amount equal to </w:t>
      </w:r>
      <w:r>
        <w:rPr>
          <w:rFonts w:ascii="Times New Roman;sans-serif" w:hAnsi="Times New Roman;sans-serif"/>
          <w:b/>
          <w:color w:val="000000"/>
          <w:sz w:val="24"/>
        </w:rPr>
        <w:t>Eight Million Five Hundred Thousand and no/100ths Dollars ($8,500,000.00)</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Deposit</w:t>
      </w:r>
      <w:r>
        <w:rPr>
          <w:color w:val="000000"/>
        </w:rPr>
        <w:t>”</w:t>
      </w:r>
      <w:r>
        <w:rPr>
          <w:rFonts w:ascii="Times New Roman;sans-serif" w:hAnsi="Times New Roman;sans-serif"/>
          <w:b w:val="false"/>
          <w:color w:val="000000"/>
          <w:sz w:val="24"/>
        </w:rPr>
        <w:t xml:space="preserve">) by wire transfer of immediately available funds, which such counsel shall hold in a trust account subject to the terms hereof concurrently with the mutual execution and delivery of this Agreement. The Deposit shall be held by Seller’s counsel and released as follows: (1) at the Closing, subject to the holdback in </w:t>
      </w:r>
      <w:r>
        <w:rPr>
          <w:rFonts w:ascii="Times New Roman;sans-serif" w:hAnsi="Times New Roman;sans-serif"/>
          <w:b w:val="false"/>
          <w:color w:val="000000"/>
          <w:sz w:val="24"/>
          <w:u w:val="single"/>
        </w:rPr>
        <w:t>Section 2.6(b),</w:t>
      </w:r>
      <w:r>
        <w:rPr>
          <w:color w:val="000000"/>
        </w:rPr>
        <w:t xml:space="preserve"> </w:t>
      </w:r>
      <w:r>
        <w:rPr>
          <w:rFonts w:ascii="Times New Roman;sans-serif" w:hAnsi="Times New Roman;sans-serif"/>
          <w:b w:val="false"/>
          <w:color w:val="000000"/>
          <w:sz w:val="24"/>
        </w:rPr>
        <w:t xml:space="preserve">the Deposit shall be credited and applied toward payment of the Base Purchase Price (and paid to Seller); (2) if Seller terminates this Agreement prior to Closing pursuant to </w:t>
      </w:r>
      <w:r>
        <w:rPr>
          <w:rFonts w:ascii="Times New Roman;sans-serif" w:hAnsi="Times New Roman;sans-serif"/>
          <w:b w:val="false"/>
          <w:color w:val="000000"/>
          <w:sz w:val="24"/>
          <w:u w:val="single"/>
        </w:rPr>
        <w:t>Section 9.1(c)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9.1(f)</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Buyer Default Termination</w:t>
      </w:r>
      <w:r>
        <w:rPr>
          <w:color w:val="000000"/>
        </w:rPr>
        <w:t>”</w:t>
      </w:r>
      <w:r>
        <w:rPr>
          <w:rFonts w:ascii="Times New Roman;sans-serif" w:hAnsi="Times New Roman;sans-serif"/>
          <w:b w:val="false"/>
          <w:color w:val="000000"/>
          <w:sz w:val="24"/>
        </w:rPr>
        <w:t>), then the Deposit shall become nonrefundable and shall be paid to Seller for Seller’s own account; and (3) if this Agreement is terminated by Seller prior to Closing for any reason other than a Buyer Default Termination, then the Deposit shall be returned to Buyer within two Business Days to an account designated by Buyer in writing by wire transfer of immediately available funds. The Parties agree that (i) the payment of the Deposit to Seller as a result of a Buyer Default Termination shall not be the sole and exclusive remedy with respect to a Buyer Default Termination and (ii) the return of the Deposit to Buyer as contemplated hereby shall not be the sole and exclusive remedy of the Buyer for a breach by Seller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at the Closing, Buyer shall authorize Seller’s counsel to deliver the Deposit to Seller, as provided in </w:t>
      </w:r>
      <w:r>
        <w:rPr>
          <w:rFonts w:ascii="Times New Roman;sans-serif" w:hAnsi="Times New Roman;sans-serif"/>
          <w:b w:val="false"/>
          <w:color w:val="000000"/>
          <w:sz w:val="24"/>
          <w:u w:val="single"/>
        </w:rPr>
        <w:t>Section 3.2(a)(i)</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at the Closing, Buyer shall pay and deliver to Seller, by wire transfer of immediately available good funds of the United States to one or more accounts designated by Seller, an amount equal to the Purchase Price,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amount of the Deposit,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assumption of the Assumed Liabilities.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Deliveries by Seller at the Closing</w:t>
      </w:r>
      <w:r>
        <w:rPr>
          <w:rFonts w:ascii="Times New Roman;sans-serif" w:hAnsi="Times New Roman;sans-serif"/>
          <w:b w:val="false"/>
          <w:color w:val="000000"/>
          <w:sz w:val="24"/>
        </w:rPr>
        <w:t>. At the Closing, Seller shall deliver to Buyer the following: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 Bill of Sale, Assignment and Assumption Agreement or similar document, in a form acceptable to Buyer and Seller (the “</w:t>
      </w:r>
      <w:r>
        <w:rPr>
          <w:rFonts w:ascii="Times New Roman;sans-serif" w:hAnsi="Times New Roman;sans-serif"/>
          <w:b w:val="false"/>
          <w:color w:val="000000"/>
          <w:sz w:val="24"/>
          <w:u w:val="single"/>
        </w:rPr>
        <w:t>Bill of Sale</w:t>
      </w:r>
      <w:r>
        <w:rPr>
          <w:color w:val="000000"/>
        </w:rPr>
        <w:t>”</w:t>
      </w:r>
      <w:r>
        <w:rPr>
          <w:rFonts w:ascii="Times New Roman;sans-serif" w:hAnsi="Times New Roman;sans-serif"/>
          <w:b w:val="false"/>
          <w:color w:val="000000"/>
          <w:sz w:val="24"/>
        </w:rPr>
        <w:t>), duly executed by Seller;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one or more Assignment and Assumption Agreements or similar documents, in a form acceptable to Buyer and Seller, with respect to the Assigned Contracts, including, without limitation, an assignment of any real property leases included among the Assigned Contracts (collectively, the “</w:t>
      </w:r>
      <w:r>
        <w:rPr>
          <w:rFonts w:ascii="Times New Roman;sans-serif" w:hAnsi="Times New Roman;sans-serif"/>
          <w:b w:val="false"/>
          <w:color w:val="000000"/>
          <w:sz w:val="24"/>
          <w:u w:val="single"/>
        </w:rPr>
        <w:t>Contract Assignments</w:t>
      </w:r>
      <w:r>
        <w:rPr>
          <w:color w:val="000000"/>
        </w:rPr>
        <w:t>”</w:t>
      </w:r>
      <w:r>
        <w:rPr>
          <w:rFonts w:ascii="Times New Roman;sans-serif" w:hAnsi="Times New Roman;sans-serif"/>
          <w:b w:val="false"/>
          <w:color w:val="000000"/>
          <w:sz w:val="24"/>
        </w:rPr>
        <w:t>), duly executed by Seller;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an assignment of all Seller IP, including Trademarks, Domain Names, patents, unregistered trademarks and works of authorship, in a form reasonably acceptable to Buyer, duly executed by Seller;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the Seller Closing Certificate;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a properly completed and duly executed IRS Form W-9 by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Deliveries by Buyer at the Closing</w:t>
      </w:r>
      <w:r>
        <w:rPr>
          <w:rFonts w:ascii="Times New Roman;sans-serif" w:hAnsi="Times New Roman;sans-serif"/>
          <w:b w:val="false"/>
          <w:color w:val="000000"/>
          <w:sz w:val="24"/>
        </w:rPr>
        <w:t>. At the Closing, Buyer shall deliver to Seller the following: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Bill of Sale, duly executed by Buyer;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the Contract Assignments, duly executed by Buyer; and</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0520"/>
                <wp:effectExtent l="0" t="0" r="0" b="0"/>
                <wp:wrapNone/>
                <wp:docPr id="219" name="Frame2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Buyer Closing Certificate.</w:t>
      </w:r>
    </w:p>
    <w:p>
      <w:pPr>
        <w:pStyle w:val="TextBody"/>
        <w:bidi w:val="0"/>
        <w:spacing w:lineRule="auto" w:line="240"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u w:val="single"/>
        </w:rPr>
        <w:br/>
        <w:t>REPRESENTATIONS AND WARRANTIES OF SELLER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Except as set forth in the Seller Disclosure Schedules, which exceptions or disclosures set forth therein will be deemed to be a part of the representations and warranties made hereunder, Seller hereby represents and warrants to Buyer as follows, in each case with respect to Seller and, as applicable, to the Purchased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Existence and Power</w:t>
      </w:r>
      <w:r>
        <w:rPr>
          <w:rFonts w:ascii="Times New Roman;sans-serif" w:hAnsi="Times New Roman;sans-serif"/>
          <w:b w:val="false"/>
          <w:color w:val="000000"/>
          <w:sz w:val="24"/>
        </w:rPr>
        <w:t xml:space="preserve">. Each entity comprising Seller is a corporation or other entity that is duly organized, validly existing, and in good standing (or its equivalent) under the Laws of the jurisdiction where it is incorporated or organized as set forth in </w:t>
      </w:r>
      <w:r>
        <w:rPr>
          <w:rFonts w:ascii="Times New Roman;sans-serif" w:hAnsi="Times New Roman;sans-serif"/>
          <w:b w:val="false"/>
          <w:color w:val="000000"/>
          <w:sz w:val="24"/>
          <w:u w:val="single"/>
        </w:rPr>
        <w:t>Schedule 4.1</w:t>
      </w:r>
      <w:r>
        <w:rPr>
          <w:rFonts w:ascii="Times New Roman;sans-serif" w:hAnsi="Times New Roman;sans-serif"/>
          <w:b w:val="false"/>
          <w:color w:val="000000"/>
          <w:sz w:val="24"/>
        </w:rPr>
        <w:t xml:space="preserve">. Each entity comprising Seller has all requisite entity power and authority required to own, lease, or, subject to the provisions of the Bankruptcy Code applicable to debtors in possession, operate the properties and assets now owned, leased or operated by it and to carry on its business as presently conducted. Each entity comprising Seller is duly licensed or qualified to transact business and is in good standing (or the equivalent thereof, if applicable) to transact business in each jurisdiction set forth in </w:t>
      </w:r>
      <w:r>
        <w:rPr>
          <w:rFonts w:ascii="Times New Roman;sans-serif" w:hAnsi="Times New Roman;sans-serif"/>
          <w:b w:val="false"/>
          <w:color w:val="000000"/>
          <w:sz w:val="24"/>
          <w:u w:val="single"/>
        </w:rPr>
        <w:t>Schedule 4.1</w:t>
      </w:r>
      <w:r>
        <w:rPr>
          <w:rFonts w:ascii="Times New Roman;sans-serif" w:hAnsi="Times New Roman;sans-serif"/>
          <w:b w:val="false"/>
          <w:color w:val="000000"/>
          <w:sz w:val="24"/>
        </w:rPr>
        <w:t>, being all jurisdictions in which the nature of the business conducted by it requires such qualification.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Authorization</w:t>
      </w:r>
      <w:r>
        <w:rPr>
          <w:rFonts w:ascii="Times New Roman;sans-serif" w:hAnsi="Times New Roman;sans-serif"/>
          <w:b w:val="false"/>
          <w:color w:val="000000"/>
          <w:sz w:val="24"/>
        </w:rPr>
        <w:t>. Subject to entry of the Approval Order, Seller has all requisite power and authority to execute and deliver, and to perform its obligations under, this Agreement and each Ancillary Document to which Seller is a party, to perform and comply with each of its obligations hereunder and thereunder and, upon entry and effectiveness of the Approval Order, in accordance with the terms hereof and thereof, will have all necessary corporate or similar authority to consummate the transactions contemplated hereby. Subject to entry of the Approval Order, the execution and delivery by Seller of this Agreement and the other Ancillary Documents to which Seller is or will be a party, the performance and compliance by Seller with each of their obligations herein and therein, and the consummation by it of the transactions have been duly and validly authorized and approved by all necessary corporate or other action on the part of Sellers, and no other corporate or other Proceedings on the part of Seller and no other stockholder votes are necessary to authorize the execution of this Agreement or the other Ancillary Documents, or the performance or consummation by the Seller of the transaction. Subject to entry of the Approval Order, the execution, delivery and performance by Seller of this Agreement and such Ancillary Documents and the consummation of the transactions contemplated hereby and thereby have been duly authorized by all necessary action on the part of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Enforceability</w:t>
      </w:r>
      <w:r>
        <w:rPr>
          <w:rFonts w:ascii="Times New Roman;sans-serif" w:hAnsi="Times New Roman;sans-serif"/>
          <w:b w:val="false"/>
          <w:color w:val="000000"/>
          <w:sz w:val="24"/>
        </w:rPr>
        <w:t>. This Agreement has been duly executed and delivered by Seller. Upon entry of the Approval Order, this Agreement shall constitute (and each Ancillary Document to which Seller is or will be a party will constitute at or prior to the Closing) a valid and legally binding obligation of Seller, enforceable against Seller in accordance with its terms, assuming that this Agreement and such Ancillary Documents, where applicable, have been duly executed by the other parties thereto, except as enforcement may be limited by General Enforceability Exceptions.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Noncontravention</w:t>
      </w:r>
      <w:r>
        <w:rPr>
          <w:rFonts w:ascii="Times New Roman;sans-serif" w:hAnsi="Times New Roman;sans-serif"/>
          <w:b w:val="false"/>
          <w:color w:val="000000"/>
          <w:sz w:val="24"/>
        </w:rPr>
        <w:t xml:space="preserve">. Subject to entry of the Approval Order, the authorization, execution, delivery and performance by the Seller of this Agreement or any Ancillary Documents, and the consummation of the transactions contemplated hereby will not (a) violate or conflict with any provision of the Organizational Documents of Seller, (b) violate any Law or any Order, in each case applicable to Seller, the Purchased Subsidiaries or by which any property or asset of the Seller of any Purchased Subsidiary is bound or affected, (c) constitute a default under, or give rise to termination, cancellation or acceleration of any right or obligation of Seller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0520"/>
                <wp:effectExtent l="0" t="0" r="0" b="0"/>
                <wp:wrapNone/>
                <wp:docPr id="220" name="Frame2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or to a loss of any benefit to which Seller is entitled under any Assigned Contract binding upon Seller, or (d) result in the creation or imposition of any Lien (other than Permitted Liens) on any asset of Seller. Except as may be required under state securities Laws, no permit, consent, approval or authorization of, notice or declaration to, or filing or registration with any Governmental Entity is required to be made or obtained by Seller in connection with the consummation of the transactions contemplated by this Agreement or any Ancillary Document. The execution and delivery by Seller of this Agreement and the other Ancillary Documents does not and will not, and the consummation by Seller of the transaction and compliance by Seller with any terms or provisions hereof will not, require any consent, approval, authorization or permit of, registration with, or filing with or notification to, any Governmental Entity.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Proceeding</w:t>
      </w:r>
      <w:r>
        <w:rPr>
          <w:rFonts w:ascii="Times New Roman;sans-serif" w:hAnsi="Times New Roman;sans-serif"/>
          <w:b w:val="false"/>
          <w:color w:val="000000"/>
          <w:sz w:val="24"/>
        </w:rPr>
        <w:t xml:space="preserve">. Except as set forth in </w:t>
      </w:r>
      <w:r>
        <w:rPr>
          <w:rFonts w:ascii="Times New Roman;sans-serif" w:hAnsi="Times New Roman;sans-serif"/>
          <w:b w:val="false"/>
          <w:color w:val="000000"/>
          <w:sz w:val="24"/>
          <w:u w:val="single"/>
        </w:rPr>
        <w:t>Schedule 4.5</w:t>
      </w:r>
      <w:r>
        <w:rPr>
          <w:rFonts w:ascii="Times New Roman;sans-serif" w:hAnsi="Times New Roman;sans-serif"/>
          <w:b w:val="false"/>
          <w:color w:val="000000"/>
          <w:sz w:val="24"/>
        </w:rPr>
        <w:t>, there are no Proceedings (other than the Bankruptcy Case) pending, threatened in writing or, to the Seller’s Knowledge, otherwise threatened by or against Seller, the Business, the Purchased Assets or the Assumed Liabilities. As of the date hereof, no Person or Governmental Entity has commenced or threatened in writing, or to the Seller’s Knowledge, otherwise threatened to commence any Proceeding that (x) seek or otherwise are reasonably expected to materially adversely affect, delay or interfere with the ability of Seller to consummate the transactions contemplated by this Agreement and the Ancillary Documents or (y) prevent, enjoin or otherwise delay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Brokers</w:t>
      </w:r>
      <w:r>
        <w:rPr>
          <w:rFonts w:ascii="Times New Roman;sans-serif" w:hAnsi="Times New Roman;sans-serif"/>
          <w:b w:val="false"/>
          <w:color w:val="000000"/>
          <w:sz w:val="24"/>
        </w:rPr>
        <w:t>. Except for Lincoln Partners Advisors LLC (whose fees shall be paid by Seller pursuant to a separate agreement), no investment banker, broker, finder, financial advisor or other intermediary is or will be entitled to any fee or commission from Seller in connection with the transactions contemplated by this Agreement or any of the Ancillary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Permits</w:t>
      </w:r>
      <w:r>
        <w:rPr>
          <w:rFonts w:ascii="Times New Roman;sans-serif" w:hAnsi="Times New Roman;sans-serif"/>
          <w:b w:val="false"/>
          <w:color w:val="000000"/>
          <w:sz w:val="24"/>
        </w:rPr>
        <w:t xml:space="preserve">. Other than in connection with or as a result of the Bankruptcy Case, Seller has Permits, and the Permits identified in </w:t>
      </w:r>
      <w:r>
        <w:rPr>
          <w:rFonts w:ascii="Times New Roman;sans-serif" w:hAnsi="Times New Roman;sans-serif"/>
          <w:b w:val="false"/>
          <w:color w:val="000000"/>
          <w:sz w:val="24"/>
          <w:u w:val="single"/>
        </w:rPr>
        <w:t>Schedule 4.7</w:t>
      </w:r>
      <w:r>
        <w:rPr>
          <w:color w:val="000000"/>
        </w:rPr>
        <w:t xml:space="preserve"> </w:t>
      </w:r>
      <w:r>
        <w:rPr>
          <w:rFonts w:ascii="Times New Roman;sans-serif" w:hAnsi="Times New Roman;sans-serif"/>
          <w:b w:val="false"/>
          <w:color w:val="000000"/>
          <w:sz w:val="24"/>
        </w:rPr>
        <w:t>are all the Permits, necessary for the conduct of their business and the use of their properties and assets, as presently conducted and used, and each of the Permits is valid, subsisting and in full force and effect in all material respects, and except as would not be, individually or in the aggregate, have a material adverse effect on the Business or the Purchased Assets, no event has occurred or circumstance exists that may result in the revocation, default, withdrawal, suspension, cancellation, or modification of or to any Permit.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Compliance with Law</w:t>
      </w:r>
      <w:r>
        <w:rPr>
          <w:rFonts w:ascii="Times New Roman;sans-serif" w:hAnsi="Times New Roman;sans-serif"/>
          <w:b w:val="false"/>
          <w:color w:val="000000"/>
          <w:sz w:val="24"/>
        </w:rPr>
        <w:t>. Seller is in compliance with, and since January 1, 2023 has been in compliance, and each Purchased Subsidiary is in compliance with, and since January 1, 2021, has been in compliance, with all Laws and Orders related to the Purchased Assets, except for such past noncompliance as has been remedied and imposes no existing obligations or costs on Seller or any Purchased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Absence of Certain Developments</w:t>
      </w:r>
      <w:r>
        <w:rPr>
          <w:rFonts w:ascii="Times New Roman;sans-serif" w:hAnsi="Times New Roman;sans-serif"/>
          <w:b w:val="false"/>
          <w:color w:val="000000"/>
          <w:sz w:val="24"/>
        </w:rPr>
        <w:t>. Since the commencement of the Bankruptcy Case, no Material Adverse Effect has occurred.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color w:val="000000"/>
          <w:sz w:val="24"/>
          <w:u w:val="single"/>
        </w:rPr>
        <w:t>Financial Statements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 4.10</w:t>
      </w:r>
      <w:r>
        <w:rPr>
          <w:color w:val="000000"/>
        </w:rPr>
        <w:t xml:space="preserve"> </w:t>
      </w:r>
      <w:r>
        <w:rPr>
          <w:rFonts w:ascii="Times New Roman;sans-serif" w:hAnsi="Times New Roman;sans-serif"/>
          <w:b w:val="false"/>
          <w:color w:val="000000"/>
          <w:sz w:val="24"/>
        </w:rPr>
        <w:t>contains: (i) Seller’s consolidated unaudited balance sheet as of the latest date available prior to the date hereof and the related unaudited statements of income and cash flows for the year to date, and the prior year, and (ii) Seller’s consolidated audited balance sheet and statements on income and cash flow for fiscal years ended December 31, 2022 and December 31, 2021 (all such financial statements referred to in (i) and (ii), the “</w:t>
      </w:r>
      <w:r>
        <w:rPr>
          <w:rFonts w:ascii="Times New Roman;sans-serif" w:hAnsi="Times New Roman;sans-serif"/>
          <w:b w:val="false"/>
          <w:color w:val="000000"/>
          <w:sz w:val="24"/>
          <w:u w:val="single"/>
        </w:rPr>
        <w:t>Seller Financial Statements</w:t>
      </w:r>
      <w:r>
        <w:rPr>
          <w:color w:val="000000"/>
        </w:rPr>
        <w:t>”</w:t>
      </w:r>
      <w:r>
        <w:rPr>
          <w:rFonts w:ascii="Times New Roman;sans-serif" w:hAnsi="Times New Roman;sans-serif"/>
          <w:b w:val="false"/>
          <w:color w:val="000000"/>
          <w:sz w:val="24"/>
        </w:rPr>
        <w:t>). The Seller Financial Statements present fairly, in all material respects, the financial condition, results of operations and cash flows of the Seller as of the times and for the periods referred to therein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0520"/>
                <wp:effectExtent l="0" t="0" r="0" b="0"/>
                <wp:wrapNone/>
                <wp:docPr id="221" name="Frame2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notes and accounts receivable of the Seller are reflected on their Books and Records, are valid receivables subject to no setoffs or counterclaims (other than for fees charged by the third parties responsible for payment of the receivables under the terms of the agreement with the applicable Seller or Purchased Subsidiary or as agreed to under ordinary course for discretionary programs or promotions), and are current and collectible subject to the reserves for bad debts set forth on the applicable Seller Financial Statements.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color w:val="000000"/>
          <w:sz w:val="24"/>
          <w:u w:val="single"/>
        </w:rPr>
        <w:t>Employee Benefits and Employee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 4.11(a)</w:t>
      </w:r>
      <w:r>
        <w:rPr>
          <w:color w:val="000000"/>
        </w:rPr>
        <w:t xml:space="preserve"> </w:t>
      </w:r>
      <w:r>
        <w:rPr>
          <w:rFonts w:ascii="Times New Roman;sans-serif" w:hAnsi="Times New Roman;sans-serif"/>
          <w:b w:val="false"/>
          <w:color w:val="000000"/>
          <w:sz w:val="24"/>
        </w:rPr>
        <w:t xml:space="preserve">sets forth a complete list of all Employee Benefit Plans as they related to any Purchased Subsidiary. All such Employee Benefit Plans of all Purchased Subsidiaries comply in form and in operation in all material respect with their terms and with the requirements of all applicable Laws.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With respect to each Employee Benefit Plan, Seller has delivered to Purchaser correct and complete copies of each of the following: (i) the current plan document together with all amendments; (ii) where applicable, copies of any trust agreements, custodial agreements, insurance policies, administration agreements, participation agreements and similar agreements, and investment management or investment advisory agreements; and (iii) copies of any summary plan descriptions, employee handbooks or similar employee communications relating to any Employee Benefit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Schedule 4.11(b)</w:t>
      </w:r>
      <w:r>
        <w:rPr>
          <w:color w:val="000000"/>
        </w:rPr>
        <w:t xml:space="preserve"> </w:t>
      </w:r>
      <w:r>
        <w:rPr>
          <w:rFonts w:ascii="Times New Roman;sans-serif" w:hAnsi="Times New Roman;sans-serif"/>
          <w:b w:val="false"/>
          <w:color w:val="000000"/>
          <w:sz w:val="24"/>
        </w:rPr>
        <w:t xml:space="preserve">sets forth a correct and complete list of all employees, consultants, officers, directors or temporary employees of the Seller and each Purchased Subsidiary as of the date hereof, and sets forth for each such Person the following: (i) name; (ii) title or position (including whether full or part-time); (iii) the amount of any commission, bonus or other incentive based compensation; and (iv) current annual compensation rate paid to each such person during calendar year 2022 and through the latest date available.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To the Knowledge of Seller, each Purchased Subsidiary is in material compliance with all applicable laws governing employment and employee relations, including laws relating to employment practices, employment discrimination, sexual and/or other harassment, paid sick and leave time, vacation, disability, civil rights, equal pay, wages, overtime, hours, terms and conditions of employment, leaves of absence, meal and rest breaks, collective bargaining and labor relations, occupational safety and health, workers’ compensation, immigration, privacy, classification of employees, consultants and independent contractors, or the withholding and payment of income, social security or similar Taxes. No litigation or other proceeding relating to any such laws are pending, and to the Knowledge of Seller, no litigation or other proceeding alleging a violation of any such applicable laws has been threatened.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To the Knowledge of Seller, no employee or independent contractor of any Seller or any Purchased Subsidiary is in violation of any term of any employment contract, consulting contract, non-disclosure agreement, common law non-disclosure obligation, non-competition agreement, non-solicitation agreement, proprietary information agreement or any other agreement relating to confidential or proprietary information, intellectual property, competition, or related matters; and the continued employment by each Seller of its employees, and the performance of the contracts with Seller by its independent contractors, will not result in any such violation.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color w:val="000000"/>
          <w:sz w:val="24"/>
          <w:u w:val="single"/>
        </w:rPr>
        <w:t>Material Contracts.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 4.12(a)</w:t>
      </w:r>
      <w:r>
        <w:rPr>
          <w:color w:val="000000"/>
        </w:rPr>
        <w:t xml:space="preserve"> </w:t>
      </w:r>
      <w:r>
        <w:rPr>
          <w:rFonts w:ascii="Times New Roman;sans-serif" w:hAnsi="Times New Roman;sans-serif"/>
          <w:b w:val="false"/>
          <w:color w:val="000000"/>
          <w:sz w:val="24"/>
        </w:rPr>
        <w:t>sets forth a list of each Material Contract as of the date of this Agreement. For purposes of this Agreement, “</w:t>
      </w:r>
      <w:r>
        <w:rPr>
          <w:rFonts w:ascii="Times New Roman;sans-serif" w:hAnsi="Times New Roman;sans-serif"/>
          <w:b w:val="false"/>
          <w:color w:val="000000"/>
          <w:sz w:val="24"/>
          <w:u w:val="single"/>
        </w:rPr>
        <w:t>Material Contract</w:t>
      </w:r>
      <w:r>
        <w:rPr>
          <w:color w:val="000000"/>
        </w:rPr>
        <w:t xml:space="preserve">” </w:t>
      </w:r>
      <w:r>
        <w:rPr>
          <w:rFonts w:ascii="Times New Roman;sans-serif" w:hAnsi="Times New Roman;sans-serif"/>
          <w:b w:val="false"/>
          <w:color w:val="000000"/>
          <w:sz w:val="24"/>
        </w:rPr>
        <w:t>means any Contract that is utilized in, and material to, the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50520"/>
                <wp:effectExtent l="0" t="0" r="0" b="0"/>
                <wp:wrapNone/>
                <wp:docPr id="222" name="Frame2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Material Contract is in full force and effect as of the date of this Agreement and is a valid and binding obligation of Seller or the applicable Purchased Subsidiary thereto and, to the Seller’s Knowledge, the other parties thereto, enforceable against each of them in accordance with its terms, except, in each case, as such enforceability may be limited by the General Enforceability Exceptions.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Neither Seller nor any Purchased Subsidiary has been provided or received any notice of any intention to terminate any Material Contract, and neither Seller, nor, as applicable, any Purchased Subsidiary, has waived any material rights under any Material Contract, except, in each case, (i) as a result of the Bankruptcy Case, (ii) as set forth in </w:t>
      </w:r>
      <w:r>
        <w:rPr>
          <w:rFonts w:ascii="Times New Roman;sans-serif" w:hAnsi="Times New Roman;sans-serif"/>
          <w:b w:val="false"/>
          <w:color w:val="000000"/>
          <w:sz w:val="24"/>
          <w:u w:val="single"/>
        </w:rPr>
        <w:t>Schedule 4.12(a)</w:t>
      </w:r>
      <w:r>
        <w:rPr>
          <w:rFonts w:ascii="Times New Roman;sans-serif" w:hAnsi="Times New Roman;sans-serif"/>
          <w:b w:val="false"/>
          <w:color w:val="000000"/>
          <w:sz w:val="24"/>
        </w:rPr>
        <w:t>, as may be cured upon entry of the Sale Order, or (iv) for Contracts that have been or will be rejected in the Bankruptcy Case. Complete and correct copies of each Material Contract (including all modifications, amendments, and supplements thereto and waivers hereunder) have been made available to the Buyer.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Schedule 4.12(a)</w:t>
      </w:r>
      <w:r>
        <w:rPr>
          <w:color w:val="000000"/>
        </w:rPr>
        <w:t xml:space="preserve"> </w:t>
      </w:r>
      <w:r>
        <w:rPr>
          <w:rFonts w:ascii="Times New Roman;sans-serif" w:hAnsi="Times New Roman;sans-serif"/>
          <w:b w:val="false"/>
          <w:color w:val="000000"/>
          <w:sz w:val="24"/>
        </w:rPr>
        <w:t xml:space="preserve">sets forth Seller’s good faith estimate (on a counterparty by counterparty basis) as of the date of this Agreement of the amounts necessary to cure defaults, if any, with respect to any of the Assigned Contracts set forth on </w:t>
      </w:r>
      <w:r>
        <w:rPr>
          <w:rFonts w:ascii="Times New Roman;sans-serif" w:hAnsi="Times New Roman;sans-serif"/>
          <w:b w:val="false"/>
          <w:color w:val="000000"/>
          <w:sz w:val="24"/>
          <w:u w:val="single"/>
        </w:rPr>
        <w:t>Schedule 2.1(d)</w:t>
      </w:r>
      <w:r>
        <w:rPr>
          <w:rFonts w:ascii="Times New Roman;sans-serif" w:hAnsi="Times New Roman;sans-serif"/>
          <w:b w:val="false"/>
          <w:color w:val="000000"/>
          <w:sz w:val="24"/>
        </w:rPr>
        <w:t xml:space="preserve">, in each case as determined by Seller or the applicable Purchased Subsidiary based on their books and records and good faith judgment.  Seller shall provide an update of such good faith estimate, if necessary, not less than ten (10) Business Days prior to the Closing Date.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Each Material Contract is an executory contract capable of being assigned pursuant to Section 365 of the Bankruptcy Code.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color w:val="000000"/>
          <w:sz w:val="24"/>
          <w:u w:val="single"/>
        </w:rPr>
        <w:t>Intellectual Property; Information Technology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 4.13(a)</w:t>
      </w:r>
      <w:r>
        <w:rPr>
          <w:color w:val="000000"/>
        </w:rPr>
        <w:t xml:space="preserve"> </w:t>
      </w:r>
      <w:r>
        <w:rPr>
          <w:rFonts w:ascii="Times New Roman;sans-serif" w:hAnsi="Times New Roman;sans-serif"/>
          <w:b w:val="false"/>
          <w:color w:val="000000"/>
          <w:sz w:val="24"/>
        </w:rPr>
        <w:t>sets forth, as of the date of this Agreement, a complete and accurate list of all (i) Registered IP, (ii) domain names included in the Seller IP, and (iii) social media handles included in the Seller IP. None of the Registered IP is involved in any opposition, cancellation, nullity, reissue, reexamination, inter parties review or proceeding, post-grant review, interference, derivation, or other Proceeding or action challenging the use, validity, issuance, registration, enforceability, inventorship, authorship, or ownership of such Registered IP.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Except as has not been, or would not be, individually or in the aggregate, material to the Business, the Purchased Assets and the Assumed Liabilities, taken as a whole, the Seller IP that is being assigned per this Agreement together with all Intellectual Property licensed or made available to Seller pursuant to the Assumed Agreements contain all of the Intellectual Property needed to operate the Business in substantially the same manner as currently conducted by the Seller and any Purchased Subsidiary.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Purchased Assets and the Assumed Liabilities, taken as a whole, with respect to each trade secret being transferred as part of the Seller IP, Seller has taken reasonable precautions to protect the secrecy, confidentiality, and value of its trade secrets and, to the Seller’s Knowledge, the trade secrets have not been used, divulged, or appropriated either for the benefit of any Person (other than Seller) or to the detriment of Seller and no trade secret is subject to any adverse claim or has been challenged or threatened in any way.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Schedule 4.13(d)</w:t>
      </w:r>
      <w:r>
        <w:rPr>
          <w:rFonts w:ascii="Times New Roman;sans-serif" w:hAnsi="Times New Roman;sans-serif"/>
          <w:b w:val="false"/>
          <w:color w:val="000000"/>
          <w:sz w:val="24"/>
        </w:rPr>
        <w:t xml:space="preserve">, Seller is not infringing, misappropriating, diluting, or otherwise violating any Intellectual Property rights of any Person, and there is no Proceeding pending or threatened and neither Seller nor any Purchased Subsidiary has received any written charge, complaint, claim, demand, or notice since January 1, 2023 alleging: either (i) any such infringement, misappropriation, dilution, or violation or (ii)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50520"/>
                <wp:effectExtent l="0" t="0" r="0" b="0"/>
                <wp:wrapNone/>
                <wp:docPr id="223" name="Frame2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challenging the use, validity, inventorship, authorship, ownership, or enforceability of any Seller IP. Seller is not in breach of any contract relating to the Seller IP, except (A) as a result of the Bankruptcy Case, (B) as has not been, or would not be, individually or in the aggregate, material to the Business, the Purchased Assets and the Assumed Liabilities, taken as a whole, (C) as may be cured upon entry of the Sale Order or (D) for Contracts that have been or will be rejected in the Bankruptcy Case.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To the Seller’s Knowledge, no Person is infringing, misappropriating, diluting or otherwise violating any Seller IP. The Seller has not threatened, made or asserted any charge, complaint, claim, demand or notice since January 1, 2022 alleging any such infringement, misappropriation, dilution, or violation that has not been fully resolved as of the date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Neither Heavy Metal, Inc. nor Christopher Knight, except as covered by an existing license agreement, own any Intellectual Property necessary to operate the Business as currently conducted.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IT Systems operate as required by the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color w:val="000000"/>
          <w:sz w:val="24"/>
          <w:u w:val="single"/>
        </w:rPr>
        <w:t>Data Privacy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As it relates to the Business and the Purchased Assets, Seller and each Purchased Subsidiary has been at all times since January 1, 2022, and remains in compliance in all material respects with all applicable: (i) externally published policies relating to Seller’s and each Purchased Subsidiaries’ processing of Personal Information; (ii) the terms of any agreements to which Seller or any Purchased Subsidiary is bound relating to the processing of Personal Information; and (iii) Privacy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Schedule 4.14(b)</w:t>
      </w:r>
      <w:r>
        <w:rPr>
          <w:rFonts w:ascii="Times New Roman;sans-serif" w:hAnsi="Times New Roman;sans-serif"/>
          <w:b w:val="false"/>
          <w:color w:val="000000"/>
          <w:sz w:val="24"/>
        </w:rPr>
        <w:t>, since January 1, 2022: (i) there have not been any Security Incidents related to the Business, and to the Seller’s Knowledge, there are currently no facts or circumstances which would serve as the basis for any Security Incident, which would adversely affect the Business in a material manner, and (ii) there have not been any claims or legal proceedings concerning its use and/or processing of Personal Information.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Since January 1, 2022, Seller has implemented and maintained, and continues to maintain as of the date hereof commercially reasonable administrative, technical and physical measures designed to protect Personal Information with respect to the Business and the Seller IP against loss, damage, and unauthorized access, use, modification, or other misuse.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color w:val="000000"/>
          <w:sz w:val="24"/>
          <w:u w:val="single"/>
        </w:rPr>
        <w:t>Taxes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All income and other Tax Returns relating to the Business or the Purchased Assets that are required by applicable Law to be filed by or with respect to Seller have been timely filed (taking into account any extension of time within which to file), and all such Tax Returns are true, complete, and accurate in all material respects.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Seller has timely paid all Taxes relating to the Business or the Purchased Assets due and owing by it (whether or not required to be shown on a Tax Return), including any Taxes required to be withheld from amounts owing to, or collected from, any employee, creditor, or other third party and all such Taxes required to be withheld have been properly withheld and remitted, other than Taxes not due as of the date of the filing of the Bankruptcy Case as to which subsequent payment was not required by reason of the Bankruptcy Case or Taxes that are being contested in good faith in appropriate Proceedings as set forth in </w:t>
      </w:r>
      <w:r>
        <w:rPr>
          <w:rFonts w:ascii="Times New Roman;sans-serif" w:hAnsi="Times New Roman;sans-serif"/>
          <w:b w:val="false"/>
          <w:color w:val="000000"/>
          <w:sz w:val="24"/>
          <w:u w:val="single"/>
        </w:rPr>
        <w:t>Schedule 4.15(b)</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50520"/>
                <wp:effectExtent l="0" t="0" r="0" b="0"/>
                <wp:wrapNone/>
                <wp:docPr id="224" name="Frame2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 deficiencies for Taxes relating to the Business or the Purchased Assets have been claimed, proposed or assessed by any Governmental Entity in writing against Seller except for deficiencies which have been fully satisfied by payment, settled or withdrawn or adequately reserved for in accordance with GAAP or other generally accepted accounting principles applicable to the financial statements of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There are no audits, examinations, investigations or other Proceedings ongoing or pending against or with respect to Seller with respect to any Taxes relating to the Business or the Purchased Assets and no written notification has been received by Seller that such audit, examination, investigation or other Proceeding has been proposed.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There are no Liens for Taxes relating to the Business or the Purchased Assets upon any property or assets of the Seller, except for Permitted Liens.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color w:val="000000"/>
          <w:sz w:val="24"/>
          <w:u w:val="single"/>
        </w:rPr>
        <w:t>Insurance</w:t>
      </w:r>
      <w:r>
        <w:rPr>
          <w:rFonts w:ascii="Times New Roman;sans-serif" w:hAnsi="Times New Roman;sans-serif"/>
          <w:b w:val="false"/>
          <w:color w:val="000000"/>
          <w:sz w:val="24"/>
        </w:rPr>
        <w:t>. Seller and each Purchased Subsidiary is insured with policies in such amounts and with such deductibles and covering such risks as Seller reasonably believe are generally deemed adequate and customary.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rFonts w:ascii="Times New Roman;sans-serif" w:hAnsi="Times New Roman;sans-serif"/>
          <w:b/>
          <w:color w:val="000000"/>
          <w:sz w:val="24"/>
          <w:u w:val="single"/>
        </w:rPr>
        <w:t>Title to Assets; Real Property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Seller, or the applicable Purchased Subsidiary, has good and valid title to, or has good and valid leasehold interests in, all material Tangible Personal Property that is included in the Purchased Assets, free and clear of all Liens other than Permitted Liens, except to the extent that such Lien will not be enforceable against such material Tangible Personal Property following the Closing in accordance with the Sale Order. The Purchased Assets and all other material Tangible Personal Property owned or leased by Seller, or the applicable Purchased Subsidiary, in connection with the Business are in good operating condition and repair, ordinary wear and tear excepted.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Neither Seller nor any Purchased Subsidiary owns any real property.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Schedule 4.17(c)</w:t>
      </w:r>
      <w:r>
        <w:rPr>
          <w:color w:val="000000"/>
        </w:rPr>
        <w:t xml:space="preserve"> </w:t>
      </w:r>
      <w:r>
        <w:rPr>
          <w:rFonts w:ascii="Times New Roman;sans-serif" w:hAnsi="Times New Roman;sans-serif"/>
          <w:b w:val="false"/>
          <w:color w:val="000000"/>
          <w:sz w:val="24"/>
        </w:rPr>
        <w:t>contains a complete and accurate list of all of leases, subleases, and sub-leases, tenancy agreements, licenses or other rights of occupation (written or oral) affecting any real property used or occupied, or permitted to be used or occupied, by Seller or a Purchased Subsidiary (the “</w:t>
      </w:r>
      <w:r>
        <w:rPr>
          <w:rFonts w:ascii="Times New Roman;sans-serif" w:hAnsi="Times New Roman;sans-serif"/>
          <w:b w:val="false"/>
          <w:color w:val="000000"/>
          <w:sz w:val="24"/>
          <w:u w:val="single"/>
        </w:rPr>
        <w:t>Leased Real Property</w:t>
      </w:r>
      <w:r>
        <w:rPr>
          <w:color w:val="000000"/>
        </w:rPr>
        <w:t>”</w:t>
      </w:r>
      <w:r>
        <w:rPr>
          <w:rFonts w:ascii="Times New Roman;sans-serif" w:hAnsi="Times New Roman;sans-serif"/>
          <w:b w:val="false"/>
          <w:color w:val="000000"/>
          <w:sz w:val="24"/>
        </w:rPr>
        <w:t xml:space="preserve">), and all amendments, extensions, renewals, guaranties, modifications, or supplements thereto, together with the amount of security deposit thereunder. True, complete and correct copies of all the Real Property Leases have been delivered or made available to the Buyer prior to the date 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rFonts w:ascii="Times New Roman;sans-serif" w:hAnsi="Times New Roman;sans-serif"/>
          <w:b/>
          <w:color w:val="000000"/>
          <w:sz w:val="24"/>
          <w:u w:val="single"/>
        </w:rPr>
        <w:t>Environmental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Neither Seller not any Purchased Subsidiary has received any notification of any allegation of actual or potential responsibility for any Release or threatened Release of any Hazardous Materials, the subject matter of which has not been resolved.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Neither Seller nor any Purchased Subsidiary has any unresolved obligations pursuant to any consent decree or consent order and is not otherwise subject to any unresolved obligations pursuant to any judgement, decree, or judicial or administrative order, in each case, relating to the compliance with applicable Environmental Laws, Environmental Permits or to the investigation, sampling, monitoring, treatment, remediation, response, removal or cleanup of Hazardous Materials.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Neither Seller nor any Purchased Subsidiary has treated, stored, disposed of, arranged for the disposal of, transported, handled, released, or, to the Seller’s 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0520"/>
                <wp:effectExtent l="0" t="0" r="0" b="0"/>
                <wp:wrapNone/>
                <wp:docPr id="225" name="Frame2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exposed any Person to, any Hazardous Materials except in compliance with applicable Environmental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1.19</w:t>
      </w:r>
      <w:r>
        <w:rPr>
          <w:rFonts w:ascii="Times New Roman;sans-serif" w:hAnsi="Times New Roman;sans-serif"/>
          <w:b/>
          <w:color w:val="000000"/>
          <w:sz w:val="24"/>
          <w:u w:val="single"/>
        </w:rPr>
        <w:t>OFAC; Foreign Corrupt Practices Act; Anticorruption Laws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Neither Seller nor any director, officer, or employee acting on behalf of Seller, is currently, or during the past five (5) years prior to the date hereof has been, subject to any U.S. sanctions administered by the Office of Foreign Assets Control of the U.S. Treasury Department (“</w:t>
      </w:r>
      <w:r>
        <w:rPr>
          <w:rFonts w:ascii="Times New Roman;sans-serif" w:hAnsi="Times New Roman;sans-serif"/>
          <w:b w:val="false"/>
          <w:color w:val="000000"/>
          <w:sz w:val="24"/>
          <w:u w:val="single"/>
        </w:rPr>
        <w:t>OFAC</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Neither Seller nor any director, officer, agent, employee or other person acting on behalf of Seller has during the past five (5) years prior to the date hereof, in the course of its actions for, or on behalf of Seller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Times New Roman;sans-serif" w:hAnsi="Times New Roman;sans-serif"/>
          <w:b w:val="false"/>
          <w:color w:val="000000"/>
          <w:sz w:val="24"/>
          <w:u w:val="single"/>
        </w:rPr>
        <w:t>FCPA</w:t>
      </w:r>
      <w:r>
        <w:rPr>
          <w:color w:val="000000"/>
        </w:rPr>
        <w:t>”</w:t>
      </w:r>
      <w:r>
        <w:rPr>
          <w:rFonts w:ascii="Times New Roman;sans-serif" w:hAnsi="Times New Roman;sans-serif"/>
          <w:b w:val="false"/>
          <w:color w:val="000000"/>
          <w:sz w:val="24"/>
        </w:rPr>
        <w:t>)) or employee from corporate funds; (iii) violated or is in violation of any provision of the FCPA or any applicable non-U.S. anti-bribery statute or regulation; or (iv) made any unlawful bribe, rebate, payoff, influence payment, kickback or other unlawful payment.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Seller has implemented and maintains in effect policies and procedures that are designed to ensure material compliance by Seller with Anticorruption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1.20</w:t>
      </w:r>
      <w:r>
        <w:rPr>
          <w:rFonts w:ascii="Times New Roman;sans-serif" w:hAnsi="Times New Roman;sans-serif"/>
          <w:b/>
          <w:color w:val="000000"/>
          <w:sz w:val="24"/>
          <w:u w:val="single"/>
        </w:rPr>
        <w:t>Material Customers; Material Suppliers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Seller has disclosed to Buyer the identities of the twenty (20) largest customers (measured by revenue) of Seller on a consolidated basis, (collectively, the “</w:t>
      </w:r>
      <w:r>
        <w:rPr>
          <w:rFonts w:ascii="Times New Roman;sans-serif" w:hAnsi="Times New Roman;sans-serif"/>
          <w:b w:val="false"/>
          <w:color w:val="000000"/>
          <w:sz w:val="24"/>
          <w:u w:val="single"/>
        </w:rPr>
        <w:t>Material Customers</w:t>
      </w:r>
      <w:r>
        <w:rPr>
          <w:color w:val="000000"/>
        </w:rPr>
        <w:t>”</w:t>
      </w:r>
      <w:r>
        <w:rPr>
          <w:rFonts w:ascii="Times New Roman;sans-serif" w:hAnsi="Times New Roman;sans-serif"/>
          <w:b w:val="false"/>
          <w:color w:val="000000"/>
          <w:sz w:val="24"/>
        </w:rPr>
        <w:t xml:space="preserve">). Except as set forth in </w:t>
      </w:r>
      <w:r>
        <w:rPr>
          <w:rFonts w:ascii="Times New Roman;sans-serif" w:hAnsi="Times New Roman;sans-serif"/>
          <w:b w:val="false"/>
          <w:color w:val="000000"/>
          <w:sz w:val="24"/>
          <w:u w:val="single"/>
        </w:rPr>
        <w:t>Schedule 4.20(a)</w:t>
      </w:r>
      <w:r>
        <w:rPr>
          <w:rFonts w:ascii="Times New Roman;sans-serif" w:hAnsi="Times New Roman;sans-serif"/>
          <w:b w:val="false"/>
          <w:color w:val="000000"/>
          <w:sz w:val="24"/>
        </w:rPr>
        <w:t>, there has been no written or, to the Seller’s Knowledge, oral notice received from any such party of any termination, cancellation or material limitation of, or any materially adverse modification or change in, the business relationship of the Seller with any Material Customer.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Seller has disclosed to Buyer the identities of the twenty (20) largest vendors and suppliers (measured by fees paid)] of Seller on a consolidated basis (collectively, the “</w:t>
      </w:r>
      <w:r>
        <w:rPr>
          <w:rFonts w:ascii="Times New Roman;sans-serif" w:hAnsi="Times New Roman;sans-serif"/>
          <w:b w:val="false"/>
          <w:color w:val="000000"/>
          <w:sz w:val="24"/>
          <w:u w:val="single"/>
        </w:rPr>
        <w:t>Material Suppliers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w:t>
      </w:r>
      <w:r>
        <w:rPr>
          <w:rFonts w:ascii="Times New Roman;sans-serif" w:hAnsi="Times New Roman;sans-serif"/>
          <w:b/>
          <w:color w:val="000000"/>
          <w:sz w:val="24"/>
          <w:u w:val="single"/>
        </w:rPr>
        <w:t>Affiliate Transactions</w:t>
      </w:r>
      <w:r>
        <w:rPr>
          <w:rFonts w:ascii="Times New Roman;sans-serif" w:hAnsi="Times New Roman;sans-serif"/>
          <w:b w:val="false"/>
          <w:color w:val="000000"/>
          <w:sz w:val="24"/>
        </w:rPr>
        <w:t xml:space="preserve">. Except as set forth in </w:t>
      </w:r>
      <w:r>
        <w:rPr>
          <w:rFonts w:ascii="Times New Roman;sans-serif" w:hAnsi="Times New Roman;sans-serif"/>
          <w:b w:val="false"/>
          <w:color w:val="000000"/>
          <w:sz w:val="24"/>
          <w:u w:val="single"/>
        </w:rPr>
        <w:t>Schedule 4.21</w:t>
      </w:r>
      <w:r>
        <w:rPr>
          <w:rFonts w:ascii="Times New Roman;sans-serif" w:hAnsi="Times New Roman;sans-serif"/>
          <w:b w:val="false"/>
          <w:color w:val="000000"/>
          <w:sz w:val="24"/>
        </w:rPr>
        <w:t>, no officer, director, contractor or employee of Seller or any Purchased Subsidiary or any former officer, director, contractor or employee of Seller or any Purchased Subsidiary (a) is a party to any agreement or transaction with Seller having a potential or actual value or a contingent or actual liability exceeding $50,000, other than (i) extensions of credit to directors and officers of the Seller for travel, business or relocation expenses or other employment-related purposes in the Ordinary Course of Business, (ii) employment arrangements in the Ordinary Course of Business and (iii) the Seller Compensation and Benefit Programs, (b) has any interest in any property used in the Business by Seller or any Purchased Subsidiaries or (c) owns any interest in, or is an officer, director, employee or consultant of, any Person which is, or is engaged in business as a supplier or customer of Seller or a Purchased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1.22</w:t>
      </w:r>
      <w:r>
        <w:rPr>
          <w:rFonts w:ascii="Times New Roman;sans-serif" w:hAnsi="Times New Roman;sans-serif"/>
          <w:b/>
          <w:color w:val="000000"/>
          <w:sz w:val="24"/>
          <w:u w:val="single"/>
        </w:rPr>
        <w:t>Sufficiency of Assets</w:t>
      </w:r>
      <w:r>
        <w:rPr>
          <w:rFonts w:ascii="Times New Roman;sans-serif" w:hAnsi="Times New Roman;sans-serif"/>
          <w:b w:val="false"/>
          <w:color w:val="000000"/>
          <w:sz w:val="24"/>
        </w:rPr>
        <w:t>. Except as has not been, or would not be, individually or in the aggregate, material to the Business, the Purchased Assets and the Assumed Liabilities, taken as a whole, the Purchased Assets are sufficient to allow the Buyer as of immediately following the Closing to conduct the Business as currently conducted by Seller.</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0520"/>
                <wp:effectExtent l="0" t="0" r="0" b="0"/>
                <wp:wrapNone/>
                <wp:docPr id="226" name="Frame2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1.23</w:t>
      </w:r>
      <w:r>
        <w:rPr>
          <w:rFonts w:ascii="Times New Roman;sans-serif" w:hAnsi="Times New Roman;sans-serif"/>
          <w:b/>
          <w:color w:val="000000"/>
          <w:sz w:val="24"/>
          <w:u w:val="single"/>
        </w:rPr>
        <w:t>Products</w:t>
      </w:r>
      <w:r>
        <w:rPr>
          <w:rFonts w:ascii="Times New Roman;sans-serif" w:hAnsi="Times New Roman;sans-serif"/>
          <w:b w:val="false"/>
          <w:color w:val="000000"/>
          <w:sz w:val="24"/>
        </w:rPr>
        <w:t xml:space="preserve">. Except as set forth in </w:t>
      </w:r>
      <w:r>
        <w:rPr>
          <w:rFonts w:ascii="Times New Roman;sans-serif" w:hAnsi="Times New Roman;sans-serif"/>
          <w:b w:val="false"/>
          <w:color w:val="000000"/>
          <w:sz w:val="24"/>
          <w:u w:val="single"/>
        </w:rPr>
        <w:t>Schedule 4.23</w:t>
      </w:r>
      <w:r>
        <w:rPr>
          <w:rFonts w:ascii="Times New Roman;sans-serif" w:hAnsi="Times New Roman;sans-serif"/>
          <w:b w:val="false"/>
          <w:color w:val="000000"/>
          <w:sz w:val="24"/>
        </w:rPr>
        <w:t>, since January 1, 2022, (a) there has been no Proceeding (or, to the Seller’s Knowledge, actions threatened) against Seller or any of its Affiliates which involve personal injury and involve (i) alleged defects in the products sold by the Business or (ii) the failure of any such products to meet any product specifications, and (b) Seller has not voluntarily or involuntarily initiated, conducted or issued, or caused to be initiated, conducted or issued, any recall or market withdrawal concerning any Business Product.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1.24</w:t>
      </w:r>
      <w:r>
        <w:rPr>
          <w:rFonts w:ascii="Times New Roman;sans-serif" w:hAnsi="Times New Roman;sans-serif"/>
          <w:b/>
          <w:color w:val="000000"/>
          <w:sz w:val="24"/>
          <w:u w:val="single"/>
        </w:rPr>
        <w:t>Product Warranties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Seller has made available to Buyer complete and correct copies of the standard terms and condition of sale for each of the products of the Business (containing applicable guarantee, warranty and indemnity provisions).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4.24</w:t>
      </w:r>
      <w:r>
        <w:rPr>
          <w:rFonts w:ascii="Times New Roman;sans-serif" w:hAnsi="Times New Roman;sans-serif"/>
          <w:b w:val="false"/>
          <w:color w:val="000000"/>
          <w:sz w:val="24"/>
        </w:rPr>
        <w:t>, neither Seller nor any Purchased Subsidiary has any liability or obligation for personal injuries, replacement or other damages in connection with the manufacture, sale, lease or delivery of any product of the Business prior to the Closing, and there is no pending or threatened claim against Seller or any Purchased Subsidiary for injuries to person or property of employees or any third parties suffered, as a result of any products of the Business manufactured, sold, or delivered by, or service rendered by or on behalf of Seller or any Purchased Subsidiaries, including claims arising out of the alleged defective or unsafe nature of products.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1.25</w:t>
      </w:r>
      <w:r>
        <w:rPr>
          <w:rFonts w:ascii="Times New Roman;sans-serif" w:hAnsi="Times New Roman;sans-serif"/>
          <w:b/>
          <w:color w:val="000000"/>
          <w:sz w:val="24"/>
          <w:u w:val="single"/>
        </w:rPr>
        <w:t>Company Subsidiaries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 4.25(a)</w:t>
      </w:r>
      <w:r>
        <w:rPr>
          <w:color w:val="000000"/>
        </w:rPr>
        <w:t> </w:t>
      </w:r>
      <w:r>
        <w:rPr>
          <w:rFonts w:ascii="Times New Roman;sans-serif" w:hAnsi="Times New Roman;sans-serif"/>
          <w:b w:val="false"/>
          <w:color w:val="000000"/>
          <w:sz w:val="24"/>
        </w:rPr>
        <w:t>sets forth the name of each Purchased Subsidiary, the jurisdiction in which it is incorporated or organized, the jurisdictions, if any, in which it is qualified to do business or is registered for Taxes of any kind, the number of shares of its authorized capital stock and the number and class of shares thereof duly issued and outstanding.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Purchased Subsidiary is duly organized, validly existing and in good standing under the laws of the jurisdiction of its incorporation or organization and is duly qualified or authorized to do business as a foreign corporation or entity and is in good standing under the laws of each jurisdiction in which the conduct of its business or the ownership of its properties requires such qualification or authorization. Each Purchased Subsidiary has all requisite corporate or other power and authority to own, lease and operate its properties and to carry on its business as currently conducted. All outstanding shares of capital stock of each Purchased Subsidiary have been duly authorized and validly issued and are fully paid and non-assessable and, excluding rights of Seller or Purchased Subsidiaries, is not subject to preemptive rights created by statute, the Organizational Documents of such Purchased Subsidiary, or any agreement to which such Purchased Subsidiary is a party or by which it is bound, and have been offered, issued and sold in compliance with all applicable Laws. All of the outstanding shares of capital stock of each Purchased Subsidiary are owned of record and beneficially by Seller free and clear of any and all Liens.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There are no subscriptions, options, warrants, calls, rights, contingent or otherwise, commitments or agreements of any character, written or oral, to which Seller or any Purchased Subsidiary is a party or by which any of them is bound obligating any Purchased Subsidiary (or Seller to cause any such Purchased Subsidiary) to issue, deliver, sell, repurchase or redeem, or cause to be issued, sold, repurchased or redeemed, any shares of the capital stock of such Purchased Subsidiary or obligating such Purchased Subsidiary to grant, extend, change the price of, otherwise amend or enter into any such subscription, option, warrant, call right, commitment or agreement with respect to any of such Purchased Subsidiary’s share capital. There are no outstanding or authorized stock appreciation, phantom stock, profit participation, or other similar rights with respect to any Purchased Subsidiary. Neither Seller nor any Purchased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0520"/>
                <wp:effectExtent l="0" t="0" r="0" b="0"/>
                <wp:wrapNone/>
                <wp:docPr id="227" name="Frame2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Subsidiary has agreed or is obligated to make any future investment in or capital contribution to any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1.26</w:t>
      </w:r>
      <w:r>
        <w:rPr>
          <w:rFonts w:ascii="Times New Roman;sans-serif" w:hAnsi="Times New Roman;sans-serif"/>
          <w:b/>
          <w:color w:val="000000"/>
          <w:sz w:val="24"/>
          <w:u w:val="single"/>
        </w:rPr>
        <w:t>Inventory</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inventories of Seller and all Purchased Subsidiaries (including raw materials, supplies, work-in-process, finished goods and other materials) (i) are, taken as a whole, in good, merchantable and useable condition, (ii) are reflected in the Seller Financial Statements at the lower of cost or market in accordance with GAAP, and (iii) in the case of finished goods, are of a quality and quantity historically saleable in the Ordinary Course of Business and, in the case of all other inventories, are of a quality and quantity historically useable in the Ordinary Course of Business. The inventory obsolescence policies of Seller and any Purchased Subsidiary are appropriate for the nature of the products sold and the marketing methods used by Seller or the applicable Purchased Subsidiary, and the reserve for inventory obsolescence reflected in the Seller Financial Statements fairly reflects the amount of obsolete inventory as of its date in accordance with GAAP.</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1.27</w:t>
      </w:r>
      <w:r>
        <w:rPr>
          <w:rFonts w:ascii="Times New Roman;sans-serif" w:hAnsi="Times New Roman;sans-serif"/>
          <w:b/>
          <w:color w:val="000000"/>
          <w:sz w:val="24"/>
          <w:u w:val="single"/>
        </w:rPr>
        <w:t>Exclusivity of Representations and Warranties</w:t>
      </w:r>
      <w:r>
        <w:rPr>
          <w:rFonts w:ascii="Times New Roman;sans-serif" w:hAnsi="Times New Roman;sans-serif"/>
          <w:b w:val="false"/>
          <w:color w:val="000000"/>
          <w:sz w:val="24"/>
        </w:rPr>
        <w:t>. Except as set forth in this Article IV, neither Seller nor any other Person is making any representation or warranty of any kind or nature whatsoever, oral or written, express or implied, relating to Seller, the Purchased Assets or the Business (including any relating to financial condition, results of operations, assets or liabilities of Seller), and Seller hereby disclaims any such other representations or warranties.</w: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u w:val="single"/>
        </w:rPr>
        <w:br/>
        <w:t>REPRESENTATIONS AND WARRANTIES OF BUYER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Buyer hereby represents and warrants to Seller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Existence and Power</w:t>
      </w:r>
      <w:r>
        <w:rPr>
          <w:rFonts w:ascii="Times New Roman;sans-serif" w:hAnsi="Times New Roman;sans-serif"/>
          <w:b w:val="false"/>
          <w:color w:val="000000"/>
          <w:sz w:val="24"/>
        </w:rPr>
        <w:t>. Buyer is an entity</w:t>
      </w:r>
      <w:r>
        <w:rPr>
          <w:color w:val="000000"/>
        </w:rPr>
        <w:t xml:space="preserve"> </w:t>
      </w:r>
      <w:r>
        <w:rPr>
          <w:rFonts w:ascii="Times New Roman;sans-serif" w:hAnsi="Times New Roman;sans-serif"/>
          <w:b w:val="false"/>
          <w:color w:val="000000"/>
          <w:sz w:val="24"/>
        </w:rPr>
        <w:t xml:space="preserve">duly organized, validly existing, and in good standing under the Laws of the state where organized.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Authorization</w:t>
      </w:r>
      <w:r>
        <w:rPr>
          <w:rFonts w:ascii="Times New Roman;sans-serif" w:hAnsi="Times New Roman;sans-serif"/>
          <w:b w:val="false"/>
          <w:color w:val="000000"/>
          <w:sz w:val="24"/>
        </w:rPr>
        <w:t>. Buyer has all requisite power and authority to execute and deliver, and to perform its obligations under, this Agreement and each Ancillary Document to which Buyer is a party or subject. The execution, delivery, and performance by Buyer of this Agreement and such Ancillary Documents and the consummation of the transactions contemplated hereby and thereby (a) are within Buyer’s powers and (b) have been duly authorized by all necessary action on the part of Buyer.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Enforceability</w:t>
      </w:r>
      <w:r>
        <w:rPr>
          <w:rFonts w:ascii="Times New Roman;sans-serif" w:hAnsi="Times New Roman;sans-serif"/>
          <w:b w:val="false"/>
          <w:color w:val="000000"/>
          <w:sz w:val="24"/>
        </w:rPr>
        <w:t>. This Agreement has been duly executed and delivered by Buyer. This Agreement constitutes (and each Ancillary Document to which Buyer is or will be a party will constitute at or prior to the Closing) a valid and legally binding obligation of Buyer, enforceable against Buyer in accordance with its terms, assuming that this Agreement and such Ancillary Documents, where applicable, have been duly executed by the other parties thereto, except as enforcement may be limited by General Enforceability Exceptions.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Governmental and Third Party Authorizations</w:t>
      </w:r>
      <w:r>
        <w:rPr>
          <w:rFonts w:ascii="Times New Roman;sans-serif" w:hAnsi="Times New Roman;sans-serif"/>
          <w:b w:val="false"/>
          <w:color w:val="000000"/>
          <w:sz w:val="24"/>
        </w:rPr>
        <w:t>. No consent, approval or authorization of, declaration to or filing or registration with, any Governmental Entity or any other Person is required to be made or obtained in connection with the execution, delivery and performance by Buyer of this Agreement or any Ancillary Document or the consummation by Buyer of the transactions contemplated by this Agreement or any Ancillary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Noncontravention</w:t>
      </w:r>
      <w:r>
        <w:rPr>
          <w:rFonts w:ascii="Times New Roman;sans-serif" w:hAnsi="Times New Roman;sans-serif"/>
          <w:b w:val="false"/>
          <w:color w:val="000000"/>
          <w:sz w:val="24"/>
        </w:rPr>
        <w:t xml:space="preserve">. The execution, delivery and performance by Buyer of this Agreement or any Ancillary Documents, and the consummation of the transactions contemplated hereby and thereby, will not (a) violate the Organizational Documents of Buyer, (b) violate any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0520"/>
                <wp:effectExtent l="0" t="0" r="0" b="0"/>
                <wp:wrapNone/>
                <wp:docPr id="228" name="Frame2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 or Order, in each case applicable to Buyer, or (c) constitute a default under, or give rise to termination, cancellation or acceleration of any right or obligation of Buyer or to a loss of any benefit to which Buyer is entitled, under any contract, agreement, instrument, commitment or arrangement binding upon Buyer.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Brokers</w:t>
      </w:r>
      <w:r>
        <w:rPr>
          <w:rFonts w:ascii="Times New Roman;sans-serif" w:hAnsi="Times New Roman;sans-serif"/>
          <w:b w:val="false"/>
          <w:color w:val="000000"/>
          <w:sz w:val="24"/>
        </w:rPr>
        <w:t>. Except for Stump &amp; Company (whose fees shall be paid by Buyer pursuant to a separate agreement), no investment banker, broker, finder or other intermediary is or will be entitled to any fee or commission from Buyer or any of its Affiliates in connection with the transactions contemplated by this Agreement or any of the Ancillary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Proceedings</w:t>
      </w:r>
      <w:r>
        <w:rPr>
          <w:rFonts w:ascii="Times New Roman;sans-serif" w:hAnsi="Times New Roman;sans-serif"/>
          <w:b w:val="false"/>
          <w:color w:val="000000"/>
          <w:sz w:val="24"/>
        </w:rPr>
        <w:t>. There are no Proceedings pending or, to the knowledge of Buyer, threatened against Buyer or any of its Affiliates that seek or otherwise are reasonably expected to (x) materially adversely affect the ability of Buyer to consummate the transactions contemplated by this Agreement and the Ancillary Documents or (y) prevent, enjoin or otherwise delay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Financial Capability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Sufficient Funds</w:t>
      </w:r>
      <w:r>
        <w:rPr>
          <w:rFonts w:ascii="Times New Roman;sans-serif" w:hAnsi="Times New Roman;sans-serif"/>
          <w:b w:val="false"/>
          <w:color w:val="000000"/>
          <w:sz w:val="24"/>
        </w:rPr>
        <w:t xml:space="preserve">. On the Closing Date, Buyer will have unrestricted funds available sufficient to (i) consummate the transactions contemplated by this Agreement, including to make all payments at the Closing contemplated by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 including payment of the Purchase Price; and (ii) pay all costs and expenses and other amounts required to be paid by Buyer in connection with the Closing or otherwise. At Closing, Buyer will have the resources and capabilities (financial or otherwise) to perform all of its obligations hereunder, and Buyer has not incurred any Liability or restriction of any kind that would impair or adversely affect such resources and capabilities.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Obligations Not Conditioned on Financings</w:t>
      </w:r>
      <w:r>
        <w:rPr>
          <w:rFonts w:ascii="Times New Roman;sans-serif" w:hAnsi="Times New Roman;sans-serif"/>
          <w:b w:val="false"/>
          <w:color w:val="000000"/>
          <w:sz w:val="24"/>
        </w:rPr>
        <w:t>. In no event shall the receipt or availability of any funds by Buyer or any Affiliate or any other financing be a condition to any of Buyer’s obligations under this Agreement. Buyer understands and acknowledges and agrees that under the terms of this Agreement, Buyer’s obligation to consummate the transactions contemplated by this Agreement is not in any way contingent upon or otherwise subject to Buyer’s consummation of any financing arrangements, Buyer’s obtaining any financing, or the availability, grant, provision or extension of any financing to Buyer.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Solvency</w:t>
      </w:r>
      <w:r>
        <w:rPr>
          <w:rFonts w:ascii="Times New Roman;sans-serif" w:hAnsi="Times New Roman;sans-serif"/>
          <w:b w:val="false"/>
          <w:color w:val="000000"/>
          <w:sz w:val="24"/>
        </w:rPr>
        <w:t>. Buyer is solvent (a) as of the date of this Agreement and (b) at and immediately after the Closing, after giving effect to the transactions contemplated hereby (including the payment of the Purchase Price and all other amounts required to be paid, borrowed or refinanced in connection with the consummation of the transactions contemplated by this Agreement and all related fees and expenses).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color w:val="000000"/>
          <w:sz w:val="24"/>
          <w:u w:val="single"/>
        </w:rPr>
        <w:t>Independent Investigation</w:t>
      </w:r>
      <w:r>
        <w:rPr>
          <w:rFonts w:ascii="Times New Roman;sans-serif" w:hAnsi="Times New Roman;sans-serif"/>
          <w:b w:val="false"/>
          <w:color w:val="000000"/>
          <w:sz w:val="24"/>
        </w:rPr>
        <w:t xml:space="preserve">. Buyer has conducted its own independent investigation, review and analysis of Seller, the Business, the Purchased Assets and the Assumed Liabilities (and the Material Customers and Material Suppliers in connection with the foregoing), and acknowledges that it has been provided adequate access to the personnel, properties, premises, and other documents and data of Seller for such purpose. Buyer acknowledges and agrees that: (a) in making its decision to enter into this Agreement and consummate the transactions contemplated by this Agreement, Buyer has relied solely upon its own investigation and the express representations and warranties of Seller set forth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of this Agreement (including related portions of the Seller Disclosure Schedules); and (b) neither Seller nor any other Person has made any representation or warranty as to Seller, the Business, the Purchased Assets or the Assumed Liabilities, except as expressly set forth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of this Agreement. Subject to the foregoing, Buyer will accept the Purchased Assets at the Closing “AS IS, WHERE IS, and “WITH ALL FAULTS.” In connection with Buyer’s investigation of Seller, Buyer and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0520"/>
                <wp:effectExtent l="0" t="0" r="0" b="0"/>
                <wp:wrapNone/>
                <wp:docPr id="229" name="Frame2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its Affiliates may have received from or on behalf of Seller certain estimates, projections, forecasts and plans, including projected statements of operating revenues and income from operations of Seller and certain business plan information of Seller. Buyer acknowledges that there are uncertainties inherent in attempting to make any such estimates, projections and other forecasts and plans, that Buyer is familiar with such uncertainties, that Buyer is taking full responsibility for making its own evaluation of the adequacy and accuracy of all estimates, projections and other forecasts and plans so furnished to it (including the reasonableness of the assumptions underlying such estimates, projections and forecasts), and that Buyer shall have no claim against Seller or any of its Affiliates or any Representatives of any of the foregoing with respect thereto. However, nothing contained in this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shall be deemed to limit or restrict in any manner any rights or remedies which Buyer has, or may have at Law, in equity or otherwise, based on fraud, willful misrepresentation or willful breach of warranty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color w:val="000000"/>
          <w:sz w:val="24"/>
          <w:u w:val="single"/>
        </w:rPr>
        <w:t>Exclusivity of Representations and Warranties</w:t>
      </w:r>
      <w:r>
        <w:rPr>
          <w:rFonts w:ascii="Times New Roman;sans-serif" w:hAnsi="Times New Roman;sans-serif"/>
          <w:b w:val="false"/>
          <w:color w:val="000000"/>
          <w:sz w:val="24"/>
        </w:rPr>
        <w:t xml:space="preserve">. Except as set forth in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neither Buyer nor any other Person is making any representation or warranty of any kind or nature whatsoever, oral or written, express or implied, relating to Buyer or its Affiliates, and Buyer hereby disclaims any such other representations or warranties.</w:t>
      </w:r>
    </w:p>
    <w:p>
      <w:pPr>
        <w:pStyle w:val="TextBody"/>
        <w:bidi w:val="0"/>
        <w:spacing w:lineRule="auto" w:line="240"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u w:val="single"/>
        </w:rPr>
        <w:br/>
        <w:t>PRE-CLOSING 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Conduct of Business</w:t>
      </w:r>
      <w:r>
        <w:rPr>
          <w:rFonts w:ascii="Times New Roman;sans-serif" w:hAnsi="Times New Roman;sans-serif"/>
          <w:b w:val="false"/>
          <w:color w:val="000000"/>
          <w:sz w:val="24"/>
        </w:rPr>
        <w:t>. Subject to the requirements the Bankruptcy Code and as Buyer may otherwise consent to in writing (which consent shall not be unreasonably withheld, conditioned or delayed), from the date hereof through the Closing or the termination of this Agreement in accordance with its terms: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Seller shall use reasonable best efforts: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to continue to operate the Business in the Ordinary Course of Business, subject to the limitations imposed by the Bankruptcy Code and any applicable budget approved by Wells Fargo Bank, N.A.;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to maintain the material items of Tangible Personal Property in the same condition as they were on the date of this Agreement, subject to reasonable wear and tear and disposal consistent with the Ordinary Course of Business;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to perform all of its post-petition obligations under all Assigned Contracts (but, specifically excluding the obligation to pay any cure amounts owing to the counterparties thereto);</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to maintain its Books and Records in accordance with past practice;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to comply in all material respects with all applicable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Seller shall not: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subject any material Purchased Assets to any Lien, except for any Lien secured and granted pursuant to any cash collateral or financing order entered by the Bankruptcy Court;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make any loans or advances outside the Ordinary Course of Business, or make any loans or advances (whether or not outside the Ordinary Course of Business) to any Affiliate of any Seller (other than another Seller);</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50520"/>
                <wp:effectExtent l="0" t="0" r="0" b="0"/>
                <wp:wrapNone/>
                <wp:docPr id="230" name="Frame2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incur, create, assume, guarantee or become liable for any indebtedness for borrowed money other than pursuant to any cash collateral or financing order entered by the Bankruptcy Court.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sell, lease, transfer, or assign any material Purchased Assets other than in the Ordinary Course of Business;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make any increase to the base compensation of any of its directors, managers, Employees, or officers, except in the Ordinary Course of Business or as may be required by any Law or Contract;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enter into any employment Contract or collective bargaining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rPr>
        <w:t>terminate any Assigned Contract (other than upon any expiration of the term of any Assigned Contract), materially amend any Assigned Contract, or enter into any Contract that would be an Assigned Contract if such Contract was in effect on the date hereof, in each case, other than in the Ordinary Course of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rPr>
        <w:t>agree to do any of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provisions of this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are not intended to be, nor will they be construed as, an endeavor on the part of Seller or Buyer to implement the transactions contemplated hereunder prior to the Closing (and satisfaction of the conditions in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and the Parties agree that Buyer will not prior to the Closing be entitled to exercise any control over the business or affairs of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Pre-Closing Access to Information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From and after the date hereof until the earlier of the Closing Date or the termination of this Agreement in accordance with its terms, upon reasonable notice, and subject to restrictions contained in any confidentiality agreements to which Seller is subject, Seller shall provide Buyer and its authorized Representatives during regular business hours reasonable access to all accountants, counsel, financial advisors and other authorized outside representatives, officers, senior management and employees of Seller in their respective principal place of business, the Seller’s books, records, documents, data (including financial and operating data) and other information regarding Seller, and all offices and other facilities of the Seller related to the Business (in a manner so as to not unreasonably interfere with the normal business operations of Seller). Notwithstanding anything to the contrary set forth in this Agreement, during the period from the date hereof until the Closing, neither Seller nor any of its Affiliates (including Seller) shall be required to disclose to Buyer or any of its Representatives (i) any information (A) if doing so would violate any Contract, fiduciary duty or Law to which Seller or any of its Affiliates (including Seller) is a party or is subject, (B) if Seller reasonably determined upon the advice of counsel that doing so could result in the loss of the ability to successfully assert attorney-client and work product privileges, (C) if Seller or any of its Affiliates, on the one hand, and Buyer or any of its Affiliates, on the other hand, are adverse parties in a litigation and such information is reasonably pertinent thereto, or (D) if Seller reasonably determines that such information should not be disclosed due to its competitively sensitive nature or (ii) any information relating to Taxes or Tax Returns other than information relating to Seller. For the avoidance of all doubt, nothing in this </w:t>
      </w:r>
      <w:r>
        <w:rPr>
          <w:rFonts w:ascii="Times New Roman;sans-serif" w:hAnsi="Times New Roman;sans-serif"/>
          <w:b w:val="false"/>
          <w:color w:val="000000"/>
          <w:sz w:val="24"/>
          <w:u w:val="single"/>
        </w:rPr>
        <w:t>Section 6.1(a)</w:t>
      </w:r>
      <w:r>
        <w:rPr>
          <w:color w:val="000000"/>
        </w:rPr>
        <w:t xml:space="preserve"> </w:t>
      </w:r>
      <w:r>
        <w:rPr>
          <w:rFonts w:ascii="Times New Roman;sans-serif" w:hAnsi="Times New Roman;sans-serif"/>
          <w:b w:val="false"/>
          <w:color w:val="000000"/>
          <w:sz w:val="24"/>
        </w:rPr>
        <w:t>shall be deemed to give rise to a contingency, condition or similar right regarding Buyer’s satisfaction with any information of any kind to which Buyer is given access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0520"/>
                <wp:effectExtent l="0" t="0" r="0" b="0"/>
                <wp:wrapNone/>
                <wp:docPr id="231" name="Frame2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information disclosed pursuant to </w:t>
      </w:r>
      <w:r>
        <w:rPr>
          <w:rFonts w:ascii="Times New Roman;sans-serif" w:hAnsi="Times New Roman;sans-serif"/>
          <w:b w:val="false"/>
          <w:color w:val="000000"/>
          <w:sz w:val="24"/>
          <w:u w:val="single"/>
        </w:rPr>
        <w:t>Section 6.2(a)</w:t>
      </w:r>
      <w:r>
        <w:rPr>
          <w:rFonts w:ascii="Times New Roman;sans-serif" w:hAnsi="Times New Roman;sans-serif"/>
          <w:b w:val="false"/>
          <w:color w:val="000000"/>
          <w:sz w:val="24"/>
        </w:rPr>
        <w:t>, together with the terms of this Agreement and the information disclosed on Seller Disclosure Schedules, shall be treated as “Confidential Information” pursuant to the terms of the Confidentiality Agreement, the provisions of which are by this reference hereby incorporated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Supplemental Disclosure</w:t>
      </w:r>
      <w:r>
        <w:rPr>
          <w:rFonts w:ascii="Times New Roman;sans-serif" w:hAnsi="Times New Roman;sans-serif"/>
          <w:b w:val="false"/>
          <w:color w:val="000000"/>
          <w:sz w:val="24"/>
        </w:rPr>
        <w:t>. From time to time prior to the Closing, Seller shall have the right (but not the obligation) to supplement or amend the Seller Disclosure Schedules with respect to any matter arising after the date hereof or, with respect to representations and warranties qualified by Seller’s Knowledge, of which Seller becomes aware after the date hereof (each a “</w:t>
      </w:r>
      <w:r>
        <w:rPr>
          <w:rFonts w:ascii="Times New Roman;sans-serif" w:hAnsi="Times New Roman;sans-serif"/>
          <w:b w:val="false"/>
          <w:color w:val="000000"/>
          <w:sz w:val="24"/>
          <w:u w:val="single"/>
        </w:rPr>
        <w:t>Schedule Supplement</w:t>
      </w:r>
      <w:r>
        <w:rPr>
          <w:color w:val="000000"/>
        </w:rPr>
        <w:t>”</w:t>
      </w:r>
      <w:r>
        <w:rPr>
          <w:rFonts w:ascii="Times New Roman;sans-serif" w:hAnsi="Times New Roman;sans-serif"/>
          <w:b w:val="false"/>
          <w:color w:val="000000"/>
          <w:sz w:val="24"/>
        </w:rPr>
        <w:t xml:space="preserve">), and each such Schedule Supplement shall automatically be deemed to be incorporated into and to supplement and amend the Seller Disclosure Schedules. Any disclosure in any such Schedule Supplement shall not be deemed to have cured any inaccuracy in or breach of any representation or warranty contained in this Agreement, including for purposes of termination rights contained in this Agreement or of determining whether or not the conditions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have been met; provided that if as a result of matters disclosed in such Schedule Supplement, Buyer has the right to (pursuant to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but does not elect to, terminate this Agreement within five (5) Business Days of its receipt of such Schedule Supplement, then Buyer shall conclusively be deemed to have waived all conditions to its obligations hereunder or rights to terminate this Agreement with respect to the matters disclosed therein under </w:t>
      </w:r>
      <w:r>
        <w:rPr>
          <w:rFonts w:ascii="Times New Roman;sans-serif" w:hAnsi="Times New Roman;sans-serif"/>
          <w:b w:val="false"/>
          <w:color w:val="000000"/>
          <w:sz w:val="24"/>
          <w:u w:val="single"/>
        </w:rPr>
        <w:t>Section 8.1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Efforts to Close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of this Agreement, each of Buyer and Seller shall use their reasonable best efforts to cause the conditions to Closing to be satisfied and for the Closing to occur as promptly as reasonably practicable.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any Proceeding by any Governmental Entity or other Person is commenced which challenges the validity or legality of the transactions contemplated hereby or seeks damages in connection therewith, the Parties agree to cooperate and use reasonable best efforts to defend against such Proceeding and, if an injunction or other order is issued in any such action, suit or other proceeding, the Parties agree to take reasonable actions to have such injunction or other order lifted, in order to expeditiously consummate the consummation of the transactions contemplated by this Agreement prior to the Outside Date; </w:t>
      </w:r>
      <w:r>
        <w:rPr>
          <w:rFonts w:ascii="Times New Roman;sans-serif" w:hAnsi="Times New Roman;sans-serif"/>
          <w:b w:val="false"/>
          <w:i/>
          <w:color w:val="000000"/>
          <w:sz w:val="24"/>
        </w:rPr>
        <w:t xml:space="preserve">provided that </w:t>
      </w:r>
      <w:r>
        <w:rPr>
          <w:rFonts w:ascii="Times New Roman;sans-serif" w:hAnsi="Times New Roman;sans-serif"/>
          <w:b w:val="false"/>
          <w:color w:val="000000"/>
          <w:sz w:val="24"/>
        </w:rPr>
        <w:t xml:space="preserve">nothing in this </w:t>
      </w:r>
      <w:r>
        <w:rPr>
          <w:rFonts w:ascii="Times New Roman;sans-serif" w:hAnsi="Times New Roman;sans-serif"/>
          <w:b w:val="false"/>
          <w:color w:val="000000"/>
          <w:sz w:val="24"/>
          <w:u w:val="single"/>
        </w:rPr>
        <w:t>Section 6.4(b)</w:t>
      </w:r>
      <w:r>
        <w:rPr>
          <w:color w:val="000000"/>
        </w:rPr>
        <w:t xml:space="preserve"> </w:t>
      </w:r>
      <w:r>
        <w:rPr>
          <w:rFonts w:ascii="Times New Roman;sans-serif" w:hAnsi="Times New Roman;sans-serif"/>
          <w:b w:val="false"/>
          <w:color w:val="000000"/>
          <w:sz w:val="24"/>
        </w:rPr>
        <w:t>shall be deemed to extend or otherwise affect the Outside Date or the Parties’ rights in connection therewith.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Buyer expressly acknowledges and agrees that (i) Seller and its Affiliates have no responsibility for any financing that Buyer may seek to raise in connection with the consummation of the transactions contemplated by this Agreement, (ii) it is not a contingency or condition to Closing under this Agreement (nor to the consummation of the transactions contemplated by this Agreements and the Ancillary Documents), for Buyer to obtain any equity, debt or other type of financing whatsoever for such transactions, and (iii) Buyer does not have the right to terminate this Agreement or to otherwise refuse to consummate such transactions by reason of Buyer’s failure to obtain financing for its acquisition.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Contact with Customers, Suppliers and Other Business Relations</w:t>
      </w:r>
      <w:r>
        <w:rPr>
          <w:rFonts w:ascii="Times New Roman;sans-serif" w:hAnsi="Times New Roman;sans-serif"/>
          <w:b w:val="false"/>
          <w:color w:val="000000"/>
          <w:sz w:val="24"/>
        </w:rPr>
        <w:t>. During the period from the date of this Agreement until the earlier of the Closing or the termination of this Agreement in accordance with its terms, Buyer hereby agrees that it is not authorized to and shall not (and shall not permit any of its Representatives or Affiliates to) contact any employee, customer, supplier, distributor or other material business relation of Seller, regarding Seller, its business or the transactions contemplated by this Agreement without the prior written (including by e-mail) consent of Seller, which consent will not be unreasonably withheld, conditioned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0520"/>
                <wp:effectExtent l="0" t="0" r="0" b="0"/>
                <wp:wrapNone/>
                <wp:docPr id="232" name="Frame2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Bankruptcy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Approval Order</w:t>
      </w:r>
      <w:r>
        <w:rPr>
          <w:rFonts w:ascii="Times New Roman;sans-serif" w:hAnsi="Times New Roman;sans-serif"/>
          <w:b w:val="false"/>
          <w:color w:val="000000"/>
          <w:sz w:val="24"/>
        </w:rPr>
        <w:t>. Promptly after the commencement of the Bankruptcy Case, Seller shall file a motion (the “</w:t>
      </w:r>
      <w:r>
        <w:rPr>
          <w:rFonts w:ascii="Times New Roman;sans-serif" w:hAnsi="Times New Roman;sans-serif"/>
          <w:b w:val="false"/>
          <w:color w:val="000000"/>
          <w:sz w:val="24"/>
          <w:u w:val="single"/>
        </w:rPr>
        <w:t>Sale Motion</w:t>
      </w:r>
      <w:r>
        <w:rPr>
          <w:color w:val="000000"/>
        </w:rPr>
        <w:t>”</w:t>
      </w:r>
      <w:r>
        <w:rPr>
          <w:rFonts w:ascii="Times New Roman;sans-serif" w:hAnsi="Times New Roman;sans-serif"/>
          <w:b w:val="false"/>
          <w:color w:val="000000"/>
          <w:sz w:val="24"/>
        </w:rPr>
        <w:t>) seeking an order (the</w:t>
      </w:r>
      <w:r>
        <w:rPr>
          <w:color w:val="000000"/>
        </w:rPr>
        <w:t xml:space="preserve"> “</w:t>
      </w:r>
      <w:r>
        <w:rPr>
          <w:rFonts w:ascii="Times New Roman;sans-serif" w:hAnsi="Times New Roman;sans-serif"/>
          <w:b w:val="false"/>
          <w:color w:val="000000"/>
          <w:sz w:val="24"/>
          <w:u w:val="single"/>
        </w:rPr>
        <w:t>Approval Order</w:t>
      </w:r>
      <w:r>
        <w:rPr>
          <w:color w:val="000000"/>
        </w:rPr>
        <w:t>”</w:t>
      </w:r>
      <w:r>
        <w:rPr>
          <w:rFonts w:ascii="Times New Roman;sans-serif" w:hAnsi="Times New Roman;sans-serif"/>
          <w:b w:val="false"/>
          <w:color w:val="000000"/>
          <w:sz w:val="24"/>
        </w:rPr>
        <w:t xml:space="preserve">) from the Bankruptcy Court, which, among other things, (i) approves the sale of the Purchased Assets to Buyer on the terms and conditions set forth in this Agreement and authorizes Seller to proceed with this transaction, (ii) includes a specific finding that Buyer is a good faith buyer of the Purchased Assets, (iii) orders Buyer to pay, concurrently with the Closing and as a condition to Seller’s assumption and assignment thereof, all cure amounts owing to the counterparties to the Assigned Contracts, and (iv) states that the sale of the Purchased Assets to Buyer shall be free and clear of all Liens (other than Permitted Liens) to the extent provided in section 363(f)(3) of the Bankruptcy Code. The form of the Approval Order shall be in form and substance reasonably satisfactory to Buyer. If requested by Seller or the Bankruptcy Court, Buyer shall provide adequate assurance of future performance (satisfactory to the Bankruptcy Court) to the counterparties to the Assigned Contracts. Following the filing of the Sale Motion, Seller shall use reasonable best efforts to obtain the Approval Order. If the Bankruptcy Court refuses to issue the Approval Order, then Buyer or Seller may terminate this Agreement in accordance with </w:t>
      </w:r>
      <w:r>
        <w:rPr>
          <w:rFonts w:ascii="Times New Roman;sans-serif" w:hAnsi="Times New Roman;sans-serif"/>
          <w:b w:val="false"/>
          <w:color w:val="000000"/>
          <w:sz w:val="24"/>
          <w:u w:val="single"/>
        </w:rPr>
        <w:t>Section 9.1(h)</w:t>
      </w:r>
      <w:r>
        <w:rPr>
          <w:rFonts w:ascii="Times New Roman;sans-serif" w:hAnsi="Times New Roman;sans-serif"/>
          <w:b w:val="false"/>
          <w:color w:val="000000"/>
          <w:sz w:val="24"/>
        </w:rPr>
        <w:t xml:space="preserve">. In the event that a third party is approved by the Bankruptcy Court as the purchaser of the Purchased Assets at the hearing on the Sale Motion, notwithstanding anything to the contrary in this Agreement, this Agreement shall not terminate, but rather shall become a “back-up bid” which shall remain open for acceptance by Seller for a period of fifteen (15) days following the Outside Date. Upon entry of the Approval Order in accordance with the provisions of this </w:t>
      </w:r>
      <w:r>
        <w:rPr>
          <w:rFonts w:ascii="Times New Roman;sans-serif" w:hAnsi="Times New Roman;sans-serif"/>
          <w:b w:val="false"/>
          <w:color w:val="000000"/>
          <w:sz w:val="24"/>
          <w:u w:val="single"/>
        </w:rPr>
        <w:t>Section 6.6</w:t>
      </w:r>
      <w:r>
        <w:rPr>
          <w:rFonts w:ascii="Times New Roman;sans-serif" w:hAnsi="Times New Roman;sans-serif"/>
          <w:b w:val="false"/>
          <w:color w:val="000000"/>
          <w:sz w:val="24"/>
        </w:rPr>
        <w:t xml:space="preserve">, the conditions set forth in </w:t>
      </w:r>
      <w:r>
        <w:rPr>
          <w:rFonts w:ascii="Times New Roman;sans-serif" w:hAnsi="Times New Roman;sans-serif"/>
          <w:b w:val="false"/>
          <w:color w:val="000000"/>
          <w:sz w:val="24"/>
          <w:u w:val="single"/>
        </w:rPr>
        <w:t>Section 8.1(e)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8.2(e)</w:t>
      </w:r>
      <w:r>
        <w:rPr>
          <w:color w:val="000000"/>
        </w:rPr>
        <w:t xml:space="preserve"> </w:t>
      </w:r>
      <w:r>
        <w:rPr>
          <w:rFonts w:ascii="Times New Roman;sans-serif" w:hAnsi="Times New Roman;sans-serif"/>
          <w:b w:val="false"/>
          <w:color w:val="000000"/>
          <w:sz w:val="24"/>
        </w:rPr>
        <w:t>shall be deemed satisfied.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Procedures Order</w:t>
      </w:r>
      <w:r>
        <w:rPr>
          <w:rFonts w:ascii="Times New Roman;sans-serif" w:hAnsi="Times New Roman;sans-serif"/>
          <w:b w:val="false"/>
          <w:color w:val="000000"/>
          <w:sz w:val="24"/>
        </w:rPr>
        <w:t>. The transaction contemplated by this Agreement shall be conducted in all respects in accordance with the process and procedures established in and the provisions of the Procedures Order, which shall be in form and substance reasonably satisfactory to Buyer, and Buyer agrees to be bound by the Procedures Order and the obligations thereunder, including in connection with, among other things, bidding, overbidding, the sale auction, refraining from collusion, return of deposits, and standing as a backup bidder for the Purchased Assets shall be as established and determined in accordance with the Procedures Order.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Competing Bids</w:t>
      </w:r>
      <w:r>
        <w:rPr>
          <w:rFonts w:ascii="Times New Roman;sans-serif" w:hAnsi="Times New Roman;sans-serif"/>
          <w:b w:val="false"/>
          <w:color w:val="000000"/>
          <w:sz w:val="24"/>
        </w:rPr>
        <w:t>. This Agreement and the transactions contemplated hereby are subject to Sellers’ right and ability to consider the higher or better competing bids with respect to the Business and the Purchased Assets in accordance with the Procedures Order. In furtherance thereof, Seller shall have the right to, and may cause its Representatives and Affiliates to, (a) initiate contact with, solicit or encourage submission of any inquiries, proposals, offers or bids by, and negotiate with, any Person (in addition to Buyer and its Affiliates) in connection with any sale or other disposition of the Purchased Assets and (b) respond to any request for information or due diligence inquiry, or make management available for such purposes, to any such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Winding Up; Dissolution; Liquidation</w:t>
      </w:r>
      <w:r>
        <w:rPr>
          <w:rFonts w:ascii="Times New Roman;sans-serif" w:hAnsi="Times New Roman;sans-serif"/>
          <w:b w:val="false"/>
          <w:color w:val="000000"/>
          <w:sz w:val="24"/>
        </w:rPr>
        <w:t>. Notwithstanding anything to the contrary in this Agreement, nothing in this Agreement shall prohibit Seller from ceasing its operations or winding up its affairs at any time after the Closing Date, it being acknowledged and agreed by Buyer that Seller intends to wind up its affairs and liquidate and dissolve its existence as soon as reasonably practicable following the Closing Date or the consummation of a liquidating plan under Chapter 11 of the Bankruptcy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Access to Books and Records</w:t>
      </w:r>
      <w:r>
        <w:rPr>
          <w:rFonts w:ascii="Times New Roman;sans-serif" w:hAnsi="Times New Roman;sans-serif"/>
          <w:b w:val="false"/>
          <w:color w:val="000000"/>
          <w:sz w:val="24"/>
        </w:rPr>
        <w:t xml:space="preserve">. After the Closing, Buyer and Seller shall use reasonable best efforts to maintain until the fifth anniversary of the Closing Date all Books and Records relating to Seller or any of their assets or liabilities prior to the Closing in the manner such Books and Records are maintained immediately prior to the Closing Date in all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0520"/>
                <wp:effectExtent l="0" t="0" r="0" b="0"/>
                <wp:wrapNone/>
                <wp:docPr id="233" name="Frame2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respects. For a period of five (5) years following the Closing, (a) Seller or any of its Representatives, upon reasonable notice, shall have access during normal business hours to examine, inspect and copy such Books and Records, and (b) Buyer shall provide Seller and its Representatives with, or cause to be provided to Seller and its Representatives, such Books and Records as Seller or its Representatives shall reasonably request in connection with any Proceeding to which Seller is a party (including, without limitation, in connection with Seller’s (or its successor’s) administration of the Bankruptcy Case) or in connection with the requirements of any Laws applicable to Seller. Seller and its Representatives shall have the right to make copies of such Books and Records at Seller’s sole cost. Buyer shall not be obligated to provide the other party with access to any books or records (including personnel files) pursuant to this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 xml:space="preserve">where such access would violate any Law or any attorney-client privilege. Buyer may require Seller and its Representatives to execute a non-disclosure agreement prior to providing access to Books and Records. For the avoidance of doubt, any information provided to Sellers pursuant to this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shall be treated as Confidential Information.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Employee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Effective as of immediately before the Closing, Buyer may offer employment, on terms of employment generally consistent with those provided by Seller as of just prior to the Closing, to the employees of Seller or any subsidiary of Seller not being purchased pursuant to this Agreement. All such employees who satisfy Buyer’s standard pre-employment screening process and accept such offers of employment with are hereinafter referred to as the “</w:t>
      </w:r>
      <w:r>
        <w:rPr>
          <w:rFonts w:ascii="Times New Roman;sans-serif" w:hAnsi="Times New Roman;sans-serif"/>
          <w:b w:val="false"/>
          <w:color w:val="000000"/>
          <w:sz w:val="24"/>
          <w:u w:val="single"/>
        </w:rPr>
        <w:t>Transferred Employees</w:t>
      </w:r>
      <w:r>
        <w:rPr>
          <w:color w:val="000000"/>
        </w:rPr>
        <w:t xml:space="preserve">” </w:t>
      </w:r>
      <w:r>
        <w:rPr>
          <w:rFonts w:ascii="Times New Roman;sans-serif" w:hAnsi="Times New Roman;sans-serif"/>
          <w:b w:val="false"/>
          <w:color w:val="000000"/>
          <w:sz w:val="24"/>
        </w:rPr>
        <w:t xml:space="preserve">and such acceptance of offers shall be effective immediately after the Closing.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Nothing contained herein is intended to or shall (i) confer upon any Transferred Employee any separate right to employment or continued employment with Seller, Buyer or any of their respective Affiliates or any benefits under any applicable Benefit Plan or Buyer Benefit Plan, (ii) create any third-party beneficiary rights or other rights of any kind with respect to any Person other than the parties to this Agreement, or (iii) constitute an employee.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provisions of this </w:t>
      </w:r>
      <w:r>
        <w:rPr>
          <w:rFonts w:ascii="Times New Roman;sans-serif" w:hAnsi="Times New Roman;sans-serif"/>
          <w:b w:val="false"/>
          <w:color w:val="000000"/>
          <w:sz w:val="24"/>
          <w:u w:val="single"/>
        </w:rPr>
        <w:t>Section 6.8</w:t>
      </w:r>
      <w:r>
        <w:rPr>
          <w:color w:val="000000"/>
        </w:rPr>
        <w:t xml:space="preserve"> </w:t>
      </w:r>
      <w:r>
        <w:rPr>
          <w:rFonts w:ascii="Times New Roman;sans-serif" w:hAnsi="Times New Roman;sans-serif"/>
          <w:b w:val="false"/>
          <w:color w:val="000000"/>
          <w:sz w:val="24"/>
        </w:rPr>
        <w:t xml:space="preserve">are for the sole benefit of the Parties and nothing herein, express or implied, is intended or shall be construed to (i) constitute the establishment or adoption of or an amendment to any employee benefit plan for purposes of ERISA or otherwise be treated as an amendment or modification of any Benefit Plan or other compensation or benefit plan, agreement or arrangement, (ii) limit the right of Seller, Buyer or any of their respective Affiliates to amend, terminate or otherwise modify any Benefit Plan or other compensation or benefit plan, agreement or arrangement, (iii) prevent or restrict in any way the right of Buyer or any of its Affiliates to terminate, reassign, promote or demote any of the Employees after the Closing or to change the title, powers, duties, responsibilities, functions, locations or terms and conditions of employment of such Employees, or (iv) confer upon or give any Person, other than the Parties and their respective permitted successors and assigns, any legal or equitable third-party beneficiary or other rights or remedies with respect to the matters provided for in this </w:t>
      </w:r>
      <w:r>
        <w:rPr>
          <w:rFonts w:ascii="Times New Roman;sans-serif" w:hAnsi="Times New Roman;sans-serif"/>
          <w:b w:val="false"/>
          <w:color w:val="000000"/>
          <w:sz w:val="24"/>
          <w:u w:val="single"/>
        </w:rPr>
        <w:t>Section 6.8</w:t>
      </w:r>
      <w:r>
        <w:rPr>
          <w:rFonts w:ascii="Times New Roman;sans-serif" w:hAnsi="Times New Roman;sans-serif"/>
          <w:b w:val="false"/>
          <w:color w:val="000000"/>
          <w:sz w:val="24"/>
        </w:rPr>
        <w:t>, under or by reason of any provision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Treatment of Inventory</w:t>
      </w:r>
      <w:r>
        <w:rPr>
          <w:rFonts w:ascii="Times New Roman;sans-serif" w:hAnsi="Times New Roman;sans-serif"/>
          <w:b w:val="false"/>
          <w:color w:val="000000"/>
          <w:sz w:val="24"/>
        </w:rPr>
        <w:t xml:space="preserve">. Prior to Closing, neither Seller nor any Purchased Subsidiary shall, without the prior written consent of Buyer, (i) make or agree to make any bulk sales of inventory to any liquidator or wholesaler, (ii) sell or dispose of any inventory qualifying as a Current Asset hereunder at prices below the first cost book value of such inventory, or (iii) sell or dispose of any inventory acquired prior to January 1, 2023 (and not constituting a Current Asset) at a discount or promotional rate that is 30% or more from the first cost book value of such inventory.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0520"/>
                <wp:effectExtent l="0" t="0" r="0" b="0"/>
                <wp:wrapNone/>
                <wp:docPr id="234" name="Frame2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u w:val="single"/>
        </w:rPr>
        <w:br/>
        <w:t>COVENANTS OF BUYER AND SELLERS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Public Announcements</w:t>
      </w:r>
      <w:r>
        <w:rPr>
          <w:rFonts w:ascii="Times New Roman;sans-serif" w:hAnsi="Times New Roman;sans-serif"/>
          <w:b w:val="false"/>
          <w:color w:val="000000"/>
          <w:sz w:val="24"/>
        </w:rPr>
        <w:t>. Neither Buyer nor Seller shall, nor shall any of their respective controlled Affiliates (including, with respect to Seller prior to the Closing, and Buyer after Closing, Seller), without the prior written approval of both Buyer and Seller, issue any press release or otherwise make any public statement with respect to this Agreement or the transactions contemplated by this Agreement (any such press release or public statement so approved by the Parties, an “</w:t>
      </w:r>
      <w:r>
        <w:rPr>
          <w:rFonts w:ascii="Times New Roman;sans-serif" w:hAnsi="Times New Roman;sans-serif"/>
          <w:b w:val="false"/>
          <w:color w:val="000000"/>
          <w:sz w:val="24"/>
          <w:u w:val="single"/>
        </w:rPr>
        <w:t>Agreed Statement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such restrictions on press releases and public statements shall not apply to (i) any disclosure as may be required by applicable Law or by obligations pursuant to any listing agreement with any national securities exchange or stock market, in which case the Party required to make the release or announcement shall allow the other Party reasonable time to comment on such release or announcement in advance of such issuance, (ii) any disclosure made in connection with the enforcement of any right or remedy relating to this Agreement or the Ancillary Documents or the transactions contemplated hereby or thereby, (iii) any disclosure that is consistent with (and does not reveal any information beyond what is already included in) a prior Agreed Statement, or (iv) any disclosure or statement made in the Bankruptcy Case that is required in connection with the filing of the Bankruptcy Case or appropriate in the furtherance of such filing, the administration of the Bankruptcy Case, or the transactions contemplated herein (including, without limitation, the Sale Motion)..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Tax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Prorations</w:t>
      </w:r>
      <w:r>
        <w:rPr>
          <w:rFonts w:ascii="Times New Roman;sans-serif" w:hAnsi="Times New Roman;sans-serif"/>
          <w:b w:val="false"/>
          <w:color w:val="000000"/>
          <w:sz w:val="24"/>
        </w:rPr>
        <w:t>. Personal property, ad valorem, use and intangible taxes and assessments, common area maintenance charges, utility charges and rental payments with respect to the Purchased Assets and the Leased Real Property included in the Assumed Contracts (collectively, “</w:t>
      </w:r>
      <w:r>
        <w:rPr>
          <w:rFonts w:ascii="Times New Roman;sans-serif" w:hAnsi="Times New Roman;sans-serif"/>
          <w:b w:val="false"/>
          <w:color w:val="000000"/>
          <w:sz w:val="24"/>
          <w:u w:val="single"/>
        </w:rPr>
        <w:t>Charges</w:t>
      </w:r>
      <w:r>
        <w:rPr>
          <w:color w:val="000000"/>
        </w:rPr>
        <w:t>”</w:t>
      </w:r>
      <w:r>
        <w:rPr>
          <w:rFonts w:ascii="Times New Roman;sans-serif" w:hAnsi="Times New Roman;sans-serif"/>
          <w:b w:val="false"/>
          <w:color w:val="000000"/>
          <w:sz w:val="24"/>
        </w:rPr>
        <w:t>) shall be prorated on a per diem basis and apportioned on a calendar year basis between Seller, on the one hand, and Buyer, on the other hand, as of the date of the Closing. Seller shall be liable for that portion of such Charges relating to, or arising in respect of, periods on or prior to the Closing Date, and Buyer shall be liable for that portion of such Charges relating to, or arising in respect of, any period after the Closing Date; provided, however, for avoidance of doubt, in no event shall Buyer be liable for fees or penalties assessed after the Closing Date for breaches occurring on or prior to the Closing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Transfer Taxes</w:t>
      </w:r>
      <w:r>
        <w:rPr>
          <w:rFonts w:ascii="Times New Roman;sans-serif" w:hAnsi="Times New Roman;sans-serif"/>
          <w:b w:val="false"/>
          <w:color w:val="000000"/>
          <w:sz w:val="24"/>
        </w:rPr>
        <w:t>. Buyer shall pay all Transfer Taxes arising out of or in connection with the transactions contemplated by this Agreement. Seller shall cooperate with Buyer by delivering to Buyer such resale or similar certificates as may be applicable, however. Buyer shall file all necessary Tax Returns and other documentation with respect to all such Transfer Taxes and if required by applicable Law, Seller shall join in the execution of any such Tax Returns and other documentation.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Allocation of Purchase Price</w:t>
      </w:r>
      <w:r>
        <w:rPr>
          <w:rFonts w:ascii="Times New Roman;sans-serif" w:hAnsi="Times New Roman;sans-serif"/>
          <w:b w:val="false"/>
          <w:color w:val="000000"/>
          <w:sz w:val="24"/>
        </w:rPr>
        <w:t>. The Purchase Price and other items required to be included thereunder shall be allocated among the Purchased Assets by Buyer. No later than 30 days following the Closing, Buyer shall prepare and provide to Seller a proposed allocation (the “</w:t>
      </w:r>
      <w:r>
        <w:rPr>
          <w:rFonts w:ascii="Times New Roman;sans-serif" w:hAnsi="Times New Roman;sans-serif"/>
          <w:b w:val="false"/>
          <w:color w:val="000000"/>
          <w:sz w:val="24"/>
          <w:u w:val="single"/>
        </w:rPr>
        <w:t>Allocation</w:t>
      </w:r>
      <w:r>
        <w:rPr>
          <w:color w:val="000000"/>
        </w:rPr>
        <w:t>”</w:t>
      </w:r>
      <w:r>
        <w:rPr>
          <w:rFonts w:ascii="Times New Roman;sans-serif" w:hAnsi="Times New Roman;sans-serif"/>
          <w:b w:val="false"/>
          <w:color w:val="000000"/>
          <w:sz w:val="24"/>
        </w:rPr>
        <w:t xml:space="preserve">) for Seller’s review. Seller shall have 30 days to review the Allocation. If Seller does not notify Buyer in writing of any objections within such 30-day period or if Seller and Buyer resolve all such objections, none of the Parties, nor any of their respective Affiliates, shall take any position (whether in financial statements, audits, tax returns or otherwise) which is inconsistent with the Allocation, unless required to do so by applicable Law. If prior to the end of such 30-day period, Buyer and Seller are unable to so agree on the Allocation then such Allocation shall not be binding on the Parties. Seller shall timely and properly prepare, execute, file and deliver all documents, forms and other information as Buyer may reasonably request to prepare the Allocation. In the event that the Allocation is binding on the Parties, (i) in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0520"/>
                <wp:effectExtent l="0" t="0" r="0" b="0"/>
                <wp:wrapNone/>
                <wp:docPr id="235" name="Frame2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adjustment to the Purchase Price, requiring an amendment to the Allocation, Buyer shall prepare and deliver such amended Allocation to Seller, which shall be prepared in a manner consistent with the Allocation, and (ii) if the Allocation is disputed by any Governmental Entity, the Party receiving notice of such dispute shall promptly notify the other Party.</w:t>
      </w:r>
    </w:p>
    <w:p>
      <w:pPr>
        <w:pStyle w:val="TextBody"/>
        <w:bidi w:val="0"/>
        <w:spacing w:lineRule="auto" w:line="240" w:before="0" w:after="240"/>
        <w:jc w:val="center"/>
        <w:rPr/>
      </w:pPr>
      <w:r>
        <w:rPr>
          <w:rFonts w:ascii="Times New Roman;sans-serif" w:hAnsi="Times New Roman;sans-serif"/>
          <w:b/>
          <w:color w:val="000000"/>
          <w:sz w:val="24"/>
        </w:rPr>
        <w:t>ARTICLE VIII</w:t>
      </w:r>
      <w:r>
        <w:rPr>
          <w:rFonts w:ascii="Times New Roman;sans-serif" w:hAnsi="Times New Roman;sans-serif"/>
          <w:b/>
          <w:color w:val="000000"/>
          <w:sz w:val="24"/>
          <w:u w:val="single"/>
        </w:rPr>
        <w:br/>
        <w:t>CONDITIONS TO CLOSING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Conditions to Obligation of Buyer</w:t>
      </w:r>
      <w:r>
        <w:rPr>
          <w:rFonts w:ascii="Times New Roman;sans-serif" w:hAnsi="Times New Roman;sans-serif"/>
          <w:b w:val="false"/>
          <w:color w:val="000000"/>
          <w:sz w:val="24"/>
        </w:rPr>
        <w:t>. The obligation of Buyer to consummate the transactions contemplated by this Agreement is subject to the satisfaction (or waiver by Buyer in writing and in Buyer’s sole discretion) of the following conditions: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representations and warranties of Seller contained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of this Agreement shall be true and correct (without giving effect to any materiality or Material Adverse Effect qualifications set forth herein) in all respects as of the date of this Agreement and as of the Closing Date with the same effect as though made at and as of such date (except those representations and warranties that address matters only as of a specified date, the accuracy of which shall be determined as of that specified date in all respects), except where the failure of such representations and warranties to be true and correct would not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Seller shall have performed or complied in all material respects with all obligations and covenants required by this Agreement to be performed or complied with by Seller, on or prior to the Closing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Buyer shall have received a certificate, dated as of the Closing Date and signed by an authorized officer of Seller, to the effect that the conditions set forth in </w:t>
      </w:r>
      <w:r>
        <w:rPr>
          <w:rFonts w:ascii="Times New Roman;sans-serif" w:hAnsi="Times New Roman;sans-serif"/>
          <w:b w:val="false"/>
          <w:color w:val="000000"/>
          <w:sz w:val="24"/>
          <w:u w:val="single"/>
        </w:rPr>
        <w:t>Sections 8.1(a)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8.1(b)</w:t>
      </w:r>
      <w:r>
        <w:rPr>
          <w:color w:val="000000"/>
        </w:rPr>
        <w:t xml:space="preserve"> </w:t>
      </w:r>
      <w:r>
        <w:rPr>
          <w:rFonts w:ascii="Times New Roman;sans-serif" w:hAnsi="Times New Roman;sans-serif"/>
          <w:b w:val="false"/>
          <w:color w:val="000000"/>
          <w:sz w:val="24"/>
        </w:rPr>
        <w:t>have been satisfied (the “</w:t>
      </w:r>
      <w:r>
        <w:rPr>
          <w:rFonts w:ascii="Times New Roman;sans-serif" w:hAnsi="Times New Roman;sans-serif"/>
          <w:b w:val="false"/>
          <w:color w:val="000000"/>
          <w:sz w:val="24"/>
          <w:u w:val="single"/>
        </w:rPr>
        <w:t>Seller Closing Certificate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 temporary restraining order, preliminary or permanent injunction or other Order preventing the consummation of the transactions contemplated by this Agreement shall be in effect, and there shall be no proceeding brought by any Governmental Entity pending before any court of competent jurisdiction seeking such an Order.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Bankruptcy Court shall have entered the Approval Order in accordance with </w:t>
      </w:r>
      <w:r>
        <w:rPr>
          <w:rFonts w:ascii="Times New Roman;sans-serif" w:hAnsi="Times New Roman;sans-serif"/>
          <w:b w:val="false"/>
          <w:color w:val="000000"/>
          <w:sz w:val="24"/>
          <w:u w:val="single"/>
        </w:rPr>
        <w:t>Section 6.6(a)</w:t>
      </w:r>
      <w:r>
        <w:rPr>
          <w:rFonts w:ascii="Times New Roman;sans-serif" w:hAnsi="Times New Roman;sans-serif"/>
          <w:b w:val="false"/>
          <w:color w:val="000000"/>
          <w:sz w:val="24"/>
        </w:rPr>
        <w:t>, and the Approval Order shall be unstayed and in full force and effect as of the Closing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Seller has made or is prepared to immediately make all of the deliveries required by </w:t>
      </w:r>
      <w:r>
        <w:rPr>
          <w:rFonts w:ascii="Times New Roman;sans-serif" w:hAnsi="Times New Roman;sans-serif"/>
          <w:b w:val="false"/>
          <w:color w:val="000000"/>
          <w:sz w:val="24"/>
          <w:u w:val="single"/>
        </w:rPr>
        <w:t>Section 3.2(b)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Conditions to Obligation of Seller</w:t>
      </w:r>
      <w:r>
        <w:rPr>
          <w:rFonts w:ascii="Times New Roman;sans-serif" w:hAnsi="Times New Roman;sans-serif"/>
          <w:b w:val="false"/>
          <w:color w:val="000000"/>
          <w:sz w:val="24"/>
        </w:rPr>
        <w:t>. The obligation of Seller to consummate the transactions contemplated by this Agreement is subject to the satisfaction (or waiver by Seller, in writing and in Seller’s sole discretion) of the following conditions: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representations and warranties of Buyer set forth in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of this Agreement shall be true and correct in all respects as of the date of this Agreement and as of the Closing Date (except those representations and warranties that address matters only as of a specified date, the accuracy of which shall be determined as of that specified date in all respects), except where the failure of such representations and warranties to be true and correct would not have a not have a material adverse effect on Buyer’s ability to consummate the transactions contemplated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50520"/>
                <wp:effectExtent l="0" t="0" r="0" b="0"/>
                <wp:wrapNone/>
                <wp:docPr id="236" name="Frame2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Buyer shall have performed or complied in all material respects with all obligations and covenants required by this Agreement to be performed or complied with by Buyer on or prior to the Closing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Seller shall have received a certificate dated as of the Closing Date by an authorized officer of Buyer to the effect that the conditions set forth in </w:t>
      </w:r>
      <w:r>
        <w:rPr>
          <w:rFonts w:ascii="Times New Roman;sans-serif" w:hAnsi="Times New Roman;sans-serif"/>
          <w:b w:val="false"/>
          <w:color w:val="000000"/>
          <w:sz w:val="24"/>
          <w:u w:val="single"/>
        </w:rPr>
        <w:t>Sections 8.2(a)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8.2(b)</w:t>
      </w:r>
      <w:r>
        <w:rPr>
          <w:color w:val="000000"/>
        </w:rPr>
        <w:t xml:space="preserve"> </w:t>
      </w:r>
      <w:r>
        <w:rPr>
          <w:rFonts w:ascii="Times New Roman;sans-serif" w:hAnsi="Times New Roman;sans-serif"/>
          <w:b w:val="false"/>
          <w:color w:val="000000"/>
          <w:sz w:val="24"/>
        </w:rPr>
        <w:t>have been satisfied (the “</w:t>
      </w:r>
      <w:r>
        <w:rPr>
          <w:rFonts w:ascii="Times New Roman;sans-serif" w:hAnsi="Times New Roman;sans-serif"/>
          <w:b w:val="false"/>
          <w:color w:val="000000"/>
          <w:sz w:val="24"/>
          <w:u w:val="single"/>
        </w:rPr>
        <w:t>Buyer Closing Certificate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 temporary restraining order, preliminary or permanent injunction or other Order preventing the consummation of the transactions contemplated by this Agreement shall be in effect, and there shall be no proceeding brought by any Governmental Entity pending before any court of competent jurisdiction seeking such an Order.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Bankruptcy Court shall have entered the Approval Order in accordance with </w:t>
      </w:r>
      <w:r>
        <w:rPr>
          <w:rFonts w:ascii="Times New Roman;sans-serif" w:hAnsi="Times New Roman;sans-serif"/>
          <w:b w:val="false"/>
          <w:color w:val="000000"/>
          <w:sz w:val="24"/>
          <w:u w:val="single"/>
        </w:rPr>
        <w:t>Section 6.6(a)</w:t>
      </w:r>
      <w:r>
        <w:rPr>
          <w:rFonts w:ascii="Times New Roman;sans-serif" w:hAnsi="Times New Roman;sans-serif"/>
          <w:b w:val="false"/>
          <w:color w:val="000000"/>
          <w:sz w:val="24"/>
        </w:rPr>
        <w:t>, and the Approval Order shall be unstayed and in full force and effect as of the Closing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Buyer has made or is prepared to immediately make all of the deliveries required by </w:t>
      </w:r>
      <w:r>
        <w:rPr>
          <w:rFonts w:ascii="Times New Roman;sans-serif" w:hAnsi="Times New Roman;sans-serif"/>
          <w:b w:val="false"/>
          <w:color w:val="000000"/>
          <w:sz w:val="24"/>
          <w:u w:val="single"/>
        </w:rPr>
        <w:t>Sections 3.2(a)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3.2(c)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Frustration of Closing Conditions</w:t>
      </w:r>
      <w:r>
        <w:rPr>
          <w:rFonts w:ascii="Times New Roman;sans-serif" w:hAnsi="Times New Roman;sans-serif"/>
          <w:b w:val="false"/>
          <w:color w:val="000000"/>
          <w:sz w:val="24"/>
        </w:rPr>
        <w:t xml:space="preserve">. No Party may rely on or assert the failure of any condition set forth in this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as the case may be, if such failure results from or was caused primarily by such Party’s failure to comply with any provision of this Agreement.</w:t>
      </w:r>
    </w:p>
    <w:p>
      <w:pPr>
        <w:pStyle w:val="TextBody"/>
        <w:bidi w:val="0"/>
        <w:spacing w:lineRule="auto" w:line="240" w:before="0" w:after="240"/>
        <w:jc w:val="center"/>
        <w:rPr/>
      </w:pPr>
      <w:r>
        <w:rPr>
          <w:rFonts w:ascii="Times New Roman;sans-serif" w:hAnsi="Times New Roman;sans-serif"/>
          <w:b/>
          <w:color w:val="000000"/>
          <w:sz w:val="24"/>
        </w:rPr>
        <w:t>ARTICLE IX</w:t>
      </w:r>
      <w:r>
        <w:rPr>
          <w:rFonts w:ascii="Times New Roman;sans-serif" w:hAnsi="Times New Roman;sans-serif"/>
          <w:b/>
          <w:color w:val="000000"/>
          <w:sz w:val="24"/>
          <w:u w:val="single"/>
        </w:rPr>
        <w:br/>
        <w:t>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Termination</w:t>
      </w:r>
      <w:r>
        <w:rPr>
          <w:rFonts w:ascii="Times New Roman;sans-serif" w:hAnsi="Times New Roman;sans-serif"/>
          <w:b w:val="false"/>
          <w:color w:val="000000"/>
          <w:sz w:val="24"/>
        </w:rPr>
        <w:t xml:space="preserve">. This Agreement may be terminated, and the transactions contemplated herein may be abandoned, prior to the Closing solely as follows;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 xml:space="preserve">any Party desiring to terminate this Agreement pursuant to this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shall give written notice of such termination to the other Parties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by the mutual written consent of Seller and Buyer;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by Buyer, if any of the representations or warranties of Seller set forth in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 xml:space="preserve">shall not be true and correct such that the condition to Closing set forth in </w:t>
      </w:r>
      <w:r>
        <w:rPr>
          <w:rFonts w:ascii="Times New Roman;sans-serif" w:hAnsi="Times New Roman;sans-serif"/>
          <w:b w:val="false"/>
          <w:color w:val="000000"/>
          <w:sz w:val="24"/>
          <w:u w:val="single"/>
        </w:rPr>
        <w:t>Section 8.1(a)</w:t>
      </w:r>
      <w:r>
        <w:rPr>
          <w:color w:val="000000"/>
        </w:rPr>
        <w:t xml:space="preserve"> </w:t>
      </w:r>
      <w:r>
        <w:rPr>
          <w:rFonts w:ascii="Times New Roman;sans-serif" w:hAnsi="Times New Roman;sans-serif"/>
          <w:b w:val="false"/>
          <w:color w:val="000000"/>
          <w:sz w:val="24"/>
        </w:rPr>
        <w:t xml:space="preserve">would not be satisfied and the breach or breaches causing such representations or warranties not to be true and correct is not cured within five (5) days after written notice thereof is delivered from Buyer to Seller;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 xml:space="preserve">Buyer shall provide supporting documentation with any such notice of termination pursuant to this </w:t>
      </w:r>
      <w:r>
        <w:rPr>
          <w:rFonts w:ascii="Times New Roman;sans-serif" w:hAnsi="Times New Roman;sans-serif"/>
          <w:b w:val="false"/>
          <w:color w:val="000000"/>
          <w:sz w:val="24"/>
          <w:u w:val="single"/>
        </w:rPr>
        <w:t>Section 9.1(b)</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 further that</w:t>
      </w:r>
      <w:r>
        <w:rPr>
          <w:color w:val="000000"/>
        </w:rPr>
        <w:t xml:space="preserve"> </w:t>
      </w:r>
      <w:r>
        <w:rPr>
          <w:rFonts w:ascii="Times New Roman;sans-serif" w:hAnsi="Times New Roman;sans-serif"/>
          <w:b w:val="false"/>
          <w:color w:val="000000"/>
          <w:sz w:val="24"/>
        </w:rPr>
        <w:t xml:space="preserve">Buyer shall not have the right to terminate this Agreement pursuant to this </w:t>
      </w:r>
      <w:r>
        <w:rPr>
          <w:rFonts w:ascii="Times New Roman;sans-serif" w:hAnsi="Times New Roman;sans-serif"/>
          <w:b w:val="false"/>
          <w:color w:val="000000"/>
          <w:sz w:val="24"/>
          <w:u w:val="single"/>
        </w:rPr>
        <w:t>Section 9.1(b)</w:t>
      </w:r>
      <w:r>
        <w:rPr>
          <w:color w:val="000000"/>
        </w:rPr>
        <w:t xml:space="preserve"> </w:t>
      </w:r>
      <w:r>
        <w:rPr>
          <w:rFonts w:ascii="Times New Roman;sans-serif" w:hAnsi="Times New Roman;sans-serif"/>
          <w:b w:val="false"/>
          <w:color w:val="000000"/>
          <w:sz w:val="24"/>
        </w:rPr>
        <w:t xml:space="preserve">if Buyer is then in material violation or breach of any of its covenants, obligations, representations or warranties set forth in this Agreement and such violation or breach would give rise to the failure of a condition set forth in </w:t>
      </w:r>
      <w:r>
        <w:rPr>
          <w:rFonts w:ascii="Times New Roman;sans-serif" w:hAnsi="Times New Roman;sans-serif"/>
          <w:b w:val="false"/>
          <w:color w:val="000000"/>
          <w:sz w:val="24"/>
          <w:u w:val="single"/>
        </w:rPr>
        <w:t>Section 8.2(a)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8.2(b)</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by Seller, if any of the representations or warranties of Buyer set forth in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 xml:space="preserve">shall not be true and correct such that the condition to Closing set forth in </w:t>
      </w:r>
      <w:r>
        <w:rPr>
          <w:rFonts w:ascii="Times New Roman;sans-serif" w:hAnsi="Times New Roman;sans-serif"/>
          <w:b w:val="false"/>
          <w:color w:val="000000"/>
          <w:sz w:val="24"/>
          <w:u w:val="single"/>
        </w:rPr>
        <w:t>Section 8.2(a)</w:t>
      </w:r>
      <w:r>
        <w:rPr>
          <w:color w:val="000000"/>
        </w:rPr>
        <w:t xml:space="preserve"> </w:t>
      </w:r>
      <w:r>
        <w:rPr>
          <w:rFonts w:ascii="Times New Roman;sans-serif" w:hAnsi="Times New Roman;sans-serif"/>
          <w:b w:val="false"/>
          <w:color w:val="000000"/>
          <w:sz w:val="24"/>
        </w:rPr>
        <w:t xml:space="preserve">would not be satisfied and the breach or breaches causing such representations or warranties not to be true and correct is not cured within five (5) days after written notice thereof is delivered from Seller to Buyer;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 xml:space="preserve">Seller shall not have the right to terminate this Agreement pursuant to this </w:t>
      </w:r>
      <w:r>
        <w:rPr>
          <w:rFonts w:ascii="Times New Roman;sans-serif" w:hAnsi="Times New Roman;sans-serif"/>
          <w:b w:val="false"/>
          <w:color w:val="000000"/>
          <w:sz w:val="24"/>
          <w:u w:val="single"/>
        </w:rPr>
        <w:t>Section 9.1(c)</w:t>
      </w:r>
      <w:r>
        <w:rPr>
          <w:color w:val="000000"/>
        </w:rPr>
        <w:t xml:space="preserve"> </w:t>
      </w:r>
      <w:r>
        <w:rPr>
          <w:rFonts w:ascii="Times New Roman;sans-serif" w:hAnsi="Times New Roman;sans-serif"/>
          <w:b w:val="false"/>
          <w:color w:val="000000"/>
          <w:sz w:val="24"/>
        </w:rPr>
        <w:t xml:space="preserve">if Seller is then in material violation or breach of any of its covenants, obligations, representations or warranties set forth in this Agreement and such violation or breach would give rise to the failure of a condition set forth in </w:t>
      </w:r>
      <w:r>
        <w:rPr>
          <w:rFonts w:ascii="Times New Roman;sans-serif" w:hAnsi="Times New Roman;sans-serif"/>
          <w:b w:val="false"/>
          <w:color w:val="000000"/>
          <w:sz w:val="24"/>
          <w:u w:val="single"/>
        </w:rPr>
        <w:t>Section 8.1(a)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8.1(b)</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50520"/>
                <wp:effectExtent l="0" t="0" r="0" b="0"/>
                <wp:wrapNone/>
                <wp:docPr id="237" name="Frame2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by Buyer or Seller, if the Closing shall not have occurred on or before the date that is no later than October 31, 2023 (the “</w:t>
      </w:r>
      <w:r>
        <w:rPr>
          <w:rFonts w:ascii="Times New Roman;sans-serif" w:hAnsi="Times New Roman;sans-serif"/>
          <w:b w:val="false"/>
          <w:color w:val="000000"/>
          <w:sz w:val="24"/>
          <w:u w:val="single"/>
        </w:rPr>
        <w:t>Outside Date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 Party shall not have the right to terminate this Agreement pursuant to this </w:t>
      </w:r>
      <w:r>
        <w:rPr>
          <w:rFonts w:ascii="Times New Roman;sans-serif" w:hAnsi="Times New Roman;sans-serif"/>
          <w:b w:val="false"/>
          <w:color w:val="000000"/>
          <w:sz w:val="24"/>
          <w:u w:val="single"/>
        </w:rPr>
        <w:t>Section 9.1(d)</w:t>
      </w:r>
      <w:r>
        <w:rPr>
          <w:color w:val="000000"/>
        </w:rPr>
        <w:t xml:space="preserve"> </w:t>
      </w:r>
      <w:r>
        <w:rPr>
          <w:rFonts w:ascii="Times New Roman;sans-serif" w:hAnsi="Times New Roman;sans-serif"/>
          <w:b w:val="false"/>
          <w:color w:val="000000"/>
          <w:sz w:val="24"/>
        </w:rPr>
        <w:t xml:space="preserve">if the failure of the Closing to occur by the Outside Date results from or was caused by the failure of the Party seeking to terminate this Agreement to comply with any provisions of this Agreement, including, without limitation, </w:t>
      </w:r>
      <w:r>
        <w:rPr>
          <w:rFonts w:ascii="Times New Roman;sans-serif" w:hAnsi="Times New Roman;sans-serif"/>
          <w:b w:val="false"/>
          <w:color w:val="000000"/>
          <w:sz w:val="24"/>
          <w:u w:val="single"/>
        </w:rPr>
        <w:t>Section 6.4</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 xml:space="preserve">that to the extent the Closing has not occurred by the Outside Date, and the failure of Closing to occur was not as a result of actions by Buyer, Buyer shall have an allowable claim for the full amount of the Termination Fee. If Closing has not occurred by the Outside Date, Seller shall use reasonable best efforts to request that Wells Fargo Bank, N.A., as lender to Seller, agrees to extend the Outside Date by up to seven (7) days;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by either Buyer or by Seller, if any Governmental Entity shall have issued an Order or taken any other action permanently enjoining, restraining or otherwise prohibiting the Closing and such Order or other action shall have become final and nonappealable;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 xml:space="preserve">the Party seeking to terminate this Agreement pursuant to this </w:t>
      </w:r>
      <w:r>
        <w:rPr>
          <w:rFonts w:ascii="Times New Roman;sans-serif" w:hAnsi="Times New Roman;sans-serif"/>
          <w:b w:val="false"/>
          <w:color w:val="000000"/>
          <w:sz w:val="24"/>
          <w:u w:val="single"/>
        </w:rPr>
        <w:t>Section 9.1(e)</w:t>
      </w:r>
      <w:r>
        <w:rPr>
          <w:color w:val="000000"/>
        </w:rPr>
        <w:t xml:space="preserve"> </w:t>
      </w:r>
      <w:r>
        <w:rPr>
          <w:rFonts w:ascii="Times New Roman;sans-serif" w:hAnsi="Times New Roman;sans-serif"/>
          <w:b w:val="false"/>
          <w:color w:val="000000"/>
          <w:sz w:val="24"/>
        </w:rPr>
        <w:t xml:space="preserve">shall have used reasonable best efforts to remove such Order, injunction, restraint or prohibition, and such Order, injunction, restraint or prohibition shall not have been principally caused by the breach by such Party of its covenants or agreements under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by Seller, if all of the conditions set forth in </w:t>
      </w:r>
      <w:r>
        <w:rPr>
          <w:rFonts w:ascii="Times New Roman;sans-serif" w:hAnsi="Times New Roman;sans-serif"/>
          <w:b w:val="false"/>
          <w:color w:val="000000"/>
          <w:sz w:val="24"/>
          <w:u w:val="single"/>
        </w:rPr>
        <w:t>Section 8.2</w:t>
      </w:r>
      <w:r>
        <w:rPr>
          <w:color w:val="000000"/>
        </w:rPr>
        <w:t xml:space="preserve"> </w:t>
      </w:r>
      <w:r>
        <w:rPr>
          <w:rFonts w:ascii="Times New Roman;sans-serif" w:hAnsi="Times New Roman;sans-serif"/>
          <w:b w:val="false"/>
          <w:color w:val="000000"/>
          <w:sz w:val="24"/>
        </w:rPr>
        <w:t xml:space="preserve">(not including conditions which are to be satisfied by actions taken at the Closing;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such conditions shall have been capable of being satisfied as of the date of termination of this Agreement) have been satisfied or validly waived by Buyer, Seller has given notice to Buyer in writing that Seller is prepared to consummate the transactions contemplated by this Agreement (a “</w:t>
      </w:r>
      <w:r>
        <w:rPr>
          <w:rFonts w:ascii="Times New Roman;sans-serif" w:hAnsi="Times New Roman;sans-serif"/>
          <w:b w:val="false"/>
          <w:color w:val="000000"/>
          <w:sz w:val="24"/>
          <w:u w:val="single"/>
        </w:rPr>
        <w:t>Seller Closing Notice</w:t>
      </w:r>
      <w:r>
        <w:rPr>
          <w:color w:val="000000"/>
        </w:rPr>
        <w:t>”</w:t>
      </w:r>
      <w:r>
        <w:rPr>
          <w:rFonts w:ascii="Times New Roman;sans-serif" w:hAnsi="Times New Roman;sans-serif"/>
          <w:b w:val="false"/>
          <w:color w:val="000000"/>
          <w:sz w:val="24"/>
        </w:rPr>
        <w:t xml:space="preserve">), and Buyer fails to consummate the transactions contemplated by this Agreement on the date the Closing should have occurred pursuant to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or, if later, on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Business Day immediately following the date of delivery of such Seller Closing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by Buyer, if all of the conditions set forth in </w:t>
      </w:r>
      <w:r>
        <w:rPr>
          <w:rFonts w:ascii="Times New Roman;sans-serif" w:hAnsi="Times New Roman;sans-serif"/>
          <w:b w:val="false"/>
          <w:color w:val="000000"/>
          <w:sz w:val="24"/>
          <w:u w:val="single"/>
        </w:rPr>
        <w:t>Section 8.1</w:t>
      </w:r>
      <w:r>
        <w:rPr>
          <w:color w:val="000000"/>
        </w:rPr>
        <w:t xml:space="preserve"> </w:t>
      </w:r>
      <w:r>
        <w:rPr>
          <w:rFonts w:ascii="Times New Roman;sans-serif" w:hAnsi="Times New Roman;sans-serif"/>
          <w:b w:val="false"/>
          <w:color w:val="000000"/>
          <w:sz w:val="24"/>
        </w:rPr>
        <w:t xml:space="preserve">(not including conditions which are to be satisfied by actions taken at the Closing;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such conditions shall have been capable of being satisfied as of the date of termination of this Agreement) have been satisfied or validly waived by Seller, Buyer has given notice to Seller in writing that Buyer is prepared to consummate the transactions contemplated by this Agreement (a “</w:t>
      </w:r>
      <w:r>
        <w:rPr>
          <w:rFonts w:ascii="Times New Roman;sans-serif" w:hAnsi="Times New Roman;sans-serif"/>
          <w:b w:val="false"/>
          <w:color w:val="000000"/>
          <w:sz w:val="24"/>
          <w:u w:val="single"/>
        </w:rPr>
        <w:t>Buyer Closing Notice</w:t>
      </w:r>
      <w:r>
        <w:rPr>
          <w:color w:val="000000"/>
        </w:rPr>
        <w:t>”</w:t>
      </w:r>
      <w:r>
        <w:rPr>
          <w:rFonts w:ascii="Times New Roman;sans-serif" w:hAnsi="Times New Roman;sans-serif"/>
          <w:b w:val="false"/>
          <w:color w:val="000000"/>
          <w:sz w:val="24"/>
        </w:rPr>
        <w:t xml:space="preserve">), and Seller fails to consummate the transactions contemplated by this Agreement on the date the Closing should have occurred pursuant to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or, if later, on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Business Day following the date of delivery of such Buyer Closing Notice;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by Seller or Buyer, if the Bankruptcy Court does not issue the Approval Order in accordance with </w:t>
      </w:r>
      <w:r>
        <w:rPr>
          <w:rFonts w:ascii="Times New Roman;sans-serif" w:hAnsi="Times New Roman;sans-serif"/>
          <w:b w:val="false"/>
          <w:color w:val="000000"/>
          <w:sz w:val="24"/>
          <w:u w:val="single"/>
        </w:rPr>
        <w:t>Section 6.6(a)</w:t>
      </w:r>
      <w:r>
        <w:rPr>
          <w:rFonts w:ascii="Times New Roman;sans-serif" w:hAnsi="Times New Roman;sans-serif"/>
          <w:b w:val="false"/>
          <w:color w:val="000000"/>
          <w:sz w:val="24"/>
        </w:rPr>
        <w:t xml:space="preserve">, subject to this Agreement becoming a “back-up” bid under certain circumstances consistent with the requirements of </w:t>
      </w:r>
      <w:r>
        <w:rPr>
          <w:rFonts w:ascii="Times New Roman;sans-serif" w:hAnsi="Times New Roman;sans-serif"/>
          <w:b w:val="false"/>
          <w:color w:val="000000"/>
          <w:sz w:val="24"/>
          <w:u w:val="single"/>
        </w:rPr>
        <w:t>Section 6.6(a)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Effect of Termination; Termination Fee.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Effect of Termination</w:t>
      </w:r>
      <w:r>
        <w:rPr>
          <w:rFonts w:ascii="Times New Roman;sans-serif" w:hAnsi="Times New Roman;sans-serif"/>
          <w:b w:val="false"/>
          <w:color w:val="000000"/>
          <w:sz w:val="24"/>
        </w:rPr>
        <w:t xml:space="preserve">. In the event of the termination of this Agreement pursuant to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this entire Agreement shall forthwith become void (and there shall be no liability or obligation on the part of Buyer, Seller or its officers, directors or equity holders) with the exception of (i) the provisions of </w:t>
      </w:r>
      <w:r>
        <w:rPr>
          <w:rFonts w:ascii="Times New Roman;sans-serif" w:hAnsi="Times New Roman;sans-serif"/>
          <w:b w:val="false"/>
          <w:color w:val="000000"/>
          <w:sz w:val="24"/>
          <w:u w:val="single"/>
        </w:rPr>
        <w:t>Section 3.2(a)(i)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6.2(b)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9.2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 xml:space="preserve">, together with all applicable defined terms set forth in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 xml:space="preserve">, each of which provisions shall survive such termination and remain valid and binding obligations of the Parties and (ii) any liability of any Party for any willful breach of this Agreement prior to such termination. For the avoidance of doubt, the Confidentiality Agreement shall survive any termination of this Agreement in accordance with its terms and shall automatically be extended until such date that is two (2) years following the date of termination of this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50520"/>
                <wp:effectExtent l="0" t="0" r="0" b="0"/>
                <wp:wrapNone/>
                <wp:docPr id="238" name="Frame2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nothing in this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shall be construed to discharge or relieve any party to the Confidentiality Agreement of its obligations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Fee</w:t>
      </w:r>
      <w:r>
        <w:rPr>
          <w:rFonts w:ascii="Times New Roman;sans-serif" w:hAnsi="Times New Roman;sans-serif"/>
          <w:b w:val="false"/>
          <w:color w:val="000000"/>
          <w:sz w:val="24"/>
        </w:rPr>
        <w:t xml:space="preserve">. If (x) (i) this Agreement is terminated pursuant to </w:t>
      </w:r>
      <w:r>
        <w:rPr>
          <w:rFonts w:ascii="Times New Roman;sans-serif" w:hAnsi="Times New Roman;sans-serif"/>
          <w:b w:val="false"/>
          <w:color w:val="000000"/>
          <w:sz w:val="24"/>
          <w:u w:val="single"/>
        </w:rPr>
        <w:t>Section Section 9.1(h)</w:t>
      </w:r>
      <w:r>
        <w:rPr>
          <w:rFonts w:ascii="Times New Roman;sans-serif" w:hAnsi="Times New Roman;sans-serif"/>
          <w:b w:val="false"/>
          <w:color w:val="000000"/>
          <w:sz w:val="24"/>
        </w:rPr>
        <w:t xml:space="preserve">; (ii) the Bankruptcy Court approves a third party as the purchaser of the Purchased Assets at the hearing on the Sale Motion (or any subsequent sale), and (iii) such alternative sale closes, or (y) this Agreement is terminated pursuant to </w:t>
      </w:r>
      <w:r>
        <w:rPr>
          <w:rFonts w:ascii="Times New Roman;sans-serif" w:hAnsi="Times New Roman;sans-serif"/>
          <w:b w:val="false"/>
          <w:color w:val="000000"/>
          <w:sz w:val="24"/>
          <w:u w:val="single"/>
        </w:rPr>
        <w:t>Section 9.1(d)</w:t>
      </w:r>
      <w:r>
        <w:rPr>
          <w:rFonts w:ascii="Times New Roman;sans-serif" w:hAnsi="Times New Roman;sans-serif"/>
          <w:b w:val="false"/>
          <w:color w:val="000000"/>
          <w:sz w:val="24"/>
        </w:rPr>
        <w:t xml:space="preserve">, then, subject to the approval of the Bankruptcy Court (which Seller shall seek through the Procedures Order), Seller shall pay to Buyer (solely, in the case of a termination pursuant to clause (x) above, from the proceeds of such alternative sale), a fee of </w:t>
      </w:r>
      <w:r>
        <w:rPr>
          <w:rFonts w:ascii="Times New Roman;sans-serif" w:hAnsi="Times New Roman;sans-serif"/>
          <w:b/>
          <w:color w:val="000000"/>
          <w:sz w:val="24"/>
        </w:rPr>
        <w:t>$3,400,000.00</w:t>
      </w:r>
      <w:r>
        <w:rPr>
          <w:color w:val="000000"/>
        </w:rPr>
        <w:t xml:space="preserve"> </w:t>
      </w:r>
      <w:r>
        <w:rPr>
          <w:rFonts w:ascii="Times New Roman;sans-serif" w:hAnsi="Times New Roman;sans-serif"/>
          <w:b w:val="false"/>
          <w:color w:val="000000"/>
          <w:sz w:val="24"/>
        </w:rPr>
        <w:t xml:space="preserve">and reimburse actual and reasonable documented expenses incurred by Buyer in connection with this Agreement up to </w:t>
      </w:r>
      <w:r>
        <w:rPr>
          <w:rFonts w:ascii="Times New Roman;sans-serif" w:hAnsi="Times New Roman;sans-serif"/>
          <w:b/>
          <w:color w:val="000000"/>
          <w:sz w:val="24"/>
        </w:rPr>
        <w:t>$550,000</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Termination Fee</w:t>
      </w:r>
      <w:r>
        <w:rPr>
          <w:color w:val="000000"/>
        </w:rPr>
        <w:t>”</w:t>
      </w:r>
      <w:r>
        <w:rPr>
          <w:rFonts w:ascii="Times New Roman;sans-serif" w:hAnsi="Times New Roman;sans-serif"/>
          <w:b w:val="false"/>
          <w:color w:val="000000"/>
          <w:sz w:val="24"/>
        </w:rPr>
        <w:t xml:space="preserve">), by wire transfer of immediately available funds no later than five (5) Business Days after such sale closing. The claim of Buyer in respect of the Termination Fee shall constitute a superpriority administrative expense claim, senior to all other administrative expense claims of Seller other than any carve-out and any administrative claims or debtor-in-possession financing obligations arising under any cash collateral or financing order entered by the Bankruptcy Court, as administrative expenses under sections 503 and 507(b) of the Bankruptcy Code in the Bankruptcy Case and shall be paid in cash (solely, in the case of clause (x) above, from the sale proceeds from any alternative sale or sales). The Parties agree that the Termination Fee is not a penalty, but is liquidated damages in a reasonable amount that will compensate Buyer in circumstances in which the Termination Fee is payable, which amount would otherwise be impossible to calculate with precision, and that the Termination Fee shall be Buyer’s sole and exclusive remedy with respect to such termination. For the avoidance of doubt, nothing set forth herein with respect to the Termination Fee is intended to preclude Buyer, upon a termination by Buyer pursuant to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from pursuing any remedies at law or in equity available to it as a result of Seller’s breach hereof.</w:t>
      </w:r>
    </w:p>
    <w:p>
      <w:pPr>
        <w:pStyle w:val="TextBody"/>
        <w:bidi w:val="0"/>
        <w:spacing w:lineRule="auto" w:line="240" w:before="0" w:after="240"/>
        <w:jc w:val="center"/>
        <w:rPr/>
      </w:pPr>
      <w:r>
        <w:rPr>
          <w:rFonts w:ascii="Times New Roman;sans-serif" w:hAnsi="Times New Roman;sans-serif"/>
          <w:b/>
          <w:color w:val="000000"/>
          <w:sz w:val="24"/>
        </w:rPr>
        <w:t>ARTICLE X</w:t>
      </w:r>
      <w:r>
        <w:rPr>
          <w:rFonts w:ascii="Times New Roman;sans-serif" w:hAnsi="Times New Roman;sans-serif"/>
          <w:b/>
          <w:color w:val="000000"/>
          <w:sz w:val="24"/>
          <w:u w:val="single"/>
        </w:rPr>
        <w:br/>
        <w:t>SURVIVAL AND RELEASE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Survival</w:t>
      </w:r>
      <w:r>
        <w:rPr>
          <w:rFonts w:ascii="Times New Roman;sans-serif" w:hAnsi="Times New Roman;sans-serif"/>
          <w:b w:val="false"/>
          <w:color w:val="000000"/>
          <w:sz w:val="24"/>
        </w:rPr>
        <w:t xml:space="preserve">. None of the representations and warranties of the Parties in this Agreement, in any instrument delivered pursuant to this Agreement, in the Seller Disclosure Schedules or any Exhibits attached hereto shall survive Closing, and no Party shall, or shall be entitled to, make any claim or initiate any action against any other Party with respect to any such representation or warranty from or after the Closing. None of the covenants or agreements of the Parties in this Agreement shall survive Closing, and no Party hereto shall, or shall be entitled to, make any claim or initiate any action against any other Party with respect to any such covenant or agreement from or after the Closing, other than (a) the covenants and agreements of the Parties contained in this </w:t>
      </w:r>
      <w:r>
        <w:rPr>
          <w:rFonts w:ascii="Times New Roman;sans-serif" w:hAnsi="Times New Roman;sans-serif"/>
          <w:b w:val="false"/>
          <w:color w:val="000000"/>
          <w:sz w:val="24"/>
          <w:u w:val="single"/>
        </w:rPr>
        <w:t>Article X</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 xml:space="preserve">, which shall survive the consummation of the transactions until fully performed in accordance with their respective terms, (b) those other covenants and agreements contained herein that by their terms apply, or are to be performed in whole or in part, after the Closing, which shall survive the consummation of the transactions until fully performed in accordance with their respective terms and (c) any rights or remedies of any Person for breach of any such surviving covenant or agreement. However, nothing contained in this </w:t>
      </w:r>
      <w:r>
        <w:rPr>
          <w:rFonts w:ascii="Times New Roman;sans-serif" w:hAnsi="Times New Roman;sans-serif"/>
          <w:b w:val="false"/>
          <w:color w:val="000000"/>
          <w:sz w:val="24"/>
          <w:u w:val="single"/>
        </w:rPr>
        <w:t>Section X</w:t>
      </w:r>
      <w:r>
        <w:rPr>
          <w:color w:val="000000"/>
        </w:rPr>
        <w:t xml:space="preserve"> </w:t>
      </w:r>
      <w:r>
        <w:rPr>
          <w:rFonts w:ascii="Times New Roman;sans-serif" w:hAnsi="Times New Roman;sans-serif"/>
          <w:b w:val="false"/>
          <w:color w:val="000000"/>
          <w:sz w:val="24"/>
        </w:rPr>
        <w:t>shall be deemed to limit or restrict in any manner any rights or remedies which Buyer or Seller has, or may have at Law, in equity or otherwise, based on intentional fraud, willful misrepresentation or willful breach of warranty hereunder.</w:t>
      </w:r>
    </w:p>
    <w:p>
      <w:pPr>
        <w:pStyle w:val="TextBody"/>
        <w:bidi w:val="0"/>
        <w:spacing w:lineRule="auto" w:line="240" w:before="0" w:after="240"/>
        <w:jc w:val="center"/>
        <w:rPr/>
      </w:pPr>
      <w:r>
        <w:rPr>
          <w:rFonts w:ascii="Times New Roman;sans-serif" w:hAnsi="Times New Roman;sans-serif"/>
          <w:b/>
          <w:color w:val="000000"/>
          <w:sz w:val="24"/>
        </w:rPr>
        <w:t>ARTICLE XI</w:t>
      </w:r>
      <w:r>
        <w:rPr>
          <w:rFonts w:ascii="Times New Roman;sans-serif" w:hAnsi="Times New Roman;sans-serif"/>
          <w:b/>
          <w:color w:val="000000"/>
          <w:sz w:val="24"/>
          <w:u w:val="single"/>
        </w:rP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Notices</w:t>
      </w:r>
      <w:r>
        <w:rPr>
          <w:rFonts w:ascii="Times New Roman;sans-serif" w:hAnsi="Times New Roman;sans-serif"/>
          <w:b w:val="false"/>
          <w:color w:val="000000"/>
          <w:sz w:val="24"/>
        </w:rPr>
        <w:t xml:space="preserve">. Any notice, request, demand, waiver, consent, approval or other communication which is required or permitted hereunder shall be in writing and shall be deemed given: (a) on the date established by the sender as having been delivered personally, (b)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50520"/>
                <wp:effectExtent l="0" t="0" r="0" b="0"/>
                <wp:wrapNone/>
                <wp:docPr id="239" name="Frame2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 delivered by a private courier as established by the sender by evidence obtained from the courier, (c) on the date delivered by email (if sent prior to 5:00 p.m. New York City time, or if sent later, then on the next Business Day), or (d) on the fifth Business Day after the date mailed, by certified or registered mail, return receipt requested, postage prepaid. Such communications, to be valid, must be addressed as follows: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Buyer,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GigaCloud Technology Inc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118 Brea Canyon Road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Walnut, CA 91789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Iman Schrock, President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Email: iman.schrock@gigacloudtech.com</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a required copy (which shall not constitute notice)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Moore &amp; Van Allen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 North Tryon Street, Suite 4700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Charlotte, NC 28202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Steven Gruendel</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Email: stevegruendel@mvalaw.com</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Seller,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Noble House Home Furnishings LLC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Riveron Consulting, LLC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265 Franklin Street, 10th Floor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Boston, MA 02110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Gayla Bella, Chief Financial Officer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gayla.bella@riveron.com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Melissa Gelbart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21325 Superior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Chatsworth, CA 91311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melissag@noblehousefurniture.com</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a required copy (which shall not constitute notice)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Pachulski Stang Ziehl &amp; Jones LLP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10100 Santa Monica Blvd, Suite 1300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Los Angeles, CA 90067</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Teddy Kapur and Maxim B. Litvak</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tkapur@pszjlaw.com; mlitvak@pszjlaw.com</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to such other address or to the attention of such Person or Persons as the recipient Party has specified by prior written notice to the other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Amendments and Waivers</w:t>
      </w:r>
      <w:r>
        <w:rPr>
          <w:rFonts w:ascii="Times New Roman;sans-serif" w:hAnsi="Times New Roman;sans-serif"/>
          <w:b w:val="false"/>
          <w:color w:val="000000"/>
          <w:sz w:val="24"/>
        </w:rPr>
        <w:t xml:space="preserve">. Any provision of this Agreement may be amended or waived if, and only if, such amendment or waiver is in writing and is duly executed, in the case of an amendment, by each Party to this Agreement, or in the case of a waiver, by the Party against whom the waiver is to be effective. No failure or delay by any Party in exercising any right or privilege hereunder shall operate as a waiver thereof, nor shall any single or partial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50520"/>
                <wp:effectExtent l="0" t="0" r="0" b="0"/>
                <wp:wrapNone/>
                <wp:docPr id="240" name="Frame2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exercise thereof preclude any other or further exercise thereof or the exercise of any other right, power or privilege. Any waiver of any term or condition shall not be construed as a waiver of any subsequent breach or a subsequent waiver of the same term or condition, or a waiver of any other term or condition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Expenses</w:t>
      </w:r>
      <w:r>
        <w:rPr>
          <w:rFonts w:ascii="Times New Roman;sans-serif" w:hAnsi="Times New Roman;sans-serif"/>
          <w:b w:val="false"/>
          <w:color w:val="000000"/>
          <w:sz w:val="24"/>
        </w:rPr>
        <w:t>. Except as otherwise provided in this Agreement, each Party shall bear its own costs and expenses in connection with the negotiation, documentation and consummation of the transactions contemplated by this Agreement, including all legal, accounting, financial advisory, consulting and all other fees and expenses of third parties, whether or not the transactions contemplated by this Agreement are consummated.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Successors and Assigns</w:t>
      </w:r>
      <w:r>
        <w:rPr>
          <w:rFonts w:ascii="Times New Roman;sans-serif" w:hAnsi="Times New Roman;sans-serif"/>
          <w:b w:val="false"/>
          <w:color w:val="000000"/>
          <w:sz w:val="24"/>
        </w:rPr>
        <w:t xml:space="preserve">. This Agreement may not be assigned by any Party (whether by operation of law or otherwise) without the prior written consent of the other Parties. Subject to the foregoing, all of the terms and provisions of this Agreement shall inure to the benefit of and be binding upon the Parties and their respective permitted successors and assigns. Buyer. Notwithstanding the foregoing, Buyer may assign, in whole or in part, its rights under this Agreement without Seller’s consent to an entity that is under common control of Buyer or in which Buyer has a significant equity interest, provided written notice thereof is delivered to Seller prior to the Closing. Such assignee will execute an instrument whereby such assignee assumes the obligations of such Buyer under this Agreement. No assignment by Buyer shall release or otherwise relieve such Buyer from any obligations hereunder. Any attempted or purported assignment that is not in accordance with the terms of this </w:t>
      </w:r>
      <w:r>
        <w:rPr>
          <w:rFonts w:ascii="Times New Roman;sans-serif" w:hAnsi="Times New Roman;sans-serif"/>
          <w:b w:val="false"/>
          <w:color w:val="000000"/>
          <w:sz w:val="24"/>
          <w:u w:val="single"/>
        </w:rPr>
        <w:t>Section 11.4</w:t>
      </w:r>
      <w:r>
        <w:rPr>
          <w:color w:val="000000"/>
        </w:rPr>
        <w:t xml:space="preserve"> </w:t>
      </w:r>
      <w:r>
        <w:rPr>
          <w:rFonts w:ascii="Times New Roman;sans-serif" w:hAnsi="Times New Roman;sans-serif"/>
          <w:b w:val="false"/>
          <w:color w:val="000000"/>
          <w:sz w:val="24"/>
        </w:rPr>
        <w:t xml:space="preserve">shall be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Agreement and the exhibits and schedules hereto shall be governed by and interpreted and enforced in accordance with the Laws of the State of Delaware, without giving effect to any choice of Law or conflict of Laws rules or provisions (whether of the State of Delaware or any other jurisdiction) that would cause the application of the Laws of any jurisdiction other than the State of Delaware.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Consent to Jurisdiction; Service of Process; Waiver of Jury Trial</w:t>
      </w:r>
      <w:r>
        <w:rPr>
          <w:rFonts w:ascii="Times New Roman;sans-serif" w:hAnsi="Times New Roman;sans-serif"/>
          <w:b w:val="false"/>
          <w:color w:val="000000"/>
          <w:sz w:val="24"/>
        </w:rPr>
        <w:t xml:space="preserve">. Any suit, action or other proceeding arising out of or relating to this Agreement or any transaction contemplated hereby shall be brought exclusively in the shall be brought exclusively in the Bankruptcy Court. Each of the Parties hereby irrevocably submits to the exclusive jurisdiction of such court for the purpose of any such suit, action or other proceeding. A final judgment in any such suit, action or other proceeding may be enforced in other jurisdictions by suit on the judgment or in any other manner provided by Law. Each Party irrevocably and unconditionally waives any objection to the laying of venue of any action, suit or proceeding arising out of this Agreement or the transactions contemplated hereby in such court, and hereby irrevocably and unconditionally waives and agrees not to plead or claim in any such court that any such action, suit or proceeding brought in any such court has been brought in an inconvenient forum. Each Party further agrees that service of any process, summons, notice or document by U.S. registered mail to such Party’s respective address set forth herein shall be effective service of process for any such action, suit or proceeding. Nothing in this </w:t>
      </w:r>
      <w:r>
        <w:rPr>
          <w:rFonts w:ascii="Times New Roman;sans-serif" w:hAnsi="Times New Roman;sans-serif"/>
          <w:b w:val="false"/>
          <w:color w:val="000000"/>
          <w:sz w:val="24"/>
          <w:u w:val="single"/>
        </w:rPr>
        <w:t>Section 11.6</w:t>
      </w:r>
      <w:r>
        <w:rPr>
          <w:rFonts w:ascii="Times New Roman;sans-serif" w:hAnsi="Times New Roman;sans-serif"/>
          <w:b w:val="false"/>
          <w:color w:val="000000"/>
          <w:sz w:val="24"/>
        </w:rPr>
        <w:t>, however, shall affect the right of any Party to serve legal process in any other manner permitted by Law. EACH PARTY HERETO HEREBY IRREVOCABLY WAIVES ALL RIGHT TO TRIAL BY JURY IN ANY ACTION, PROCEEDING OR COUNTERCLAIM (WHETHER BASED ON CONTRACT, TORT OR OTHERWISE) ARISING OUT OF OR RELATING TO THIS AGREEMENT, THE TRANSACTIONS CONTEMPLATED HEREBY OR THE ACTIONS OF SUCH PARTY IN THE NEGOTIATION, ADMINISTRATION, PERFORMANCE AND ENFORCEMENT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50520"/>
                <wp:effectExtent l="0" t="0" r="0" b="0"/>
                <wp:wrapNone/>
                <wp:docPr id="241" name="Frame2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may be executed in counterparts, each of which when executed and delivered shall be deemed to be an original and all of which counterparts taken together shall constitute but one and the same instrument. This Agreement shall become effective when each Party shall have received a counterpart hereof signed by the other Party. The Parties agree that the delivery of this Agreement, the Ancillary Documents and any other agreements and documents at the Closing may be effected by means of an exchange of facsimile signatures or other electronic delivery. Delivery of an executed counterpart of a signature page to this Agreement by facsimile or scanned pages shall be effective as delivery of a manually executed counterpart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Party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or enforceability of this Agreement and each Party forever waives any such defense. The words “execution,” “executed,” “signed,” “signature,” and words of like import in this Agreement shall include images of manually executed signatures transmitted by facsimile or other electronic format (including, without limitation, “pdf,” “tif” or “jpg”) and other electronic signatures (including, without limitation, SignNow and DocuSign).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No Third Party Beneficiaries</w:t>
      </w:r>
      <w:r>
        <w:rPr>
          <w:rFonts w:ascii="Times New Roman;sans-serif" w:hAnsi="Times New Roman;sans-serif"/>
          <w:b w:val="false"/>
          <w:color w:val="000000"/>
          <w:sz w:val="24"/>
        </w:rPr>
        <w:t>. No provision of this Agreement is intended to or shall confer upon any Person other than the Parties any rights or remedies of any nature whatsoever under or by reason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Agreement, the Ancillary Documents, schedules, including the Seller Disclosure Schedules and the other documents, instruments and agreements specifically referred to herein or therein or delivered pursuant hereto or thereto, together with the Confidentiality Agreement, set forth the entire understanding of the Parties with respect to the subject matter hereof and the transactions contemplated hereby. All schedules, including any Seller Disclosure Schedules, referred to herein are intended to be and hereby are specifically made a part of this Agreement and incorporated by reference herein. Any and all previous agreements and understandings between or among the Parties regarding the subject matter hereof, whether written or oral, are superseded by this Agreement, except for the Confidentiality Agreement which shall continue in full force and effect in accordance with its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color w:val="000000"/>
          <w:sz w:val="24"/>
          <w:u w:val="single"/>
        </w:rPr>
        <w:t>Disclosure Schedules</w:t>
      </w:r>
      <w:r>
        <w:rPr>
          <w:rFonts w:ascii="Times New Roman;sans-serif" w:hAnsi="Times New Roman;sans-serif"/>
          <w:b w:val="false"/>
          <w:color w:val="000000"/>
          <w:sz w:val="24"/>
        </w:rPr>
        <w:t>. Except as otherwise provided in the Seller Disclosure Schedules, all capitalized terms therein shall have the meanings assigned to them in this Agreement. Matters reflected in the Seller Disclosure Schedules are not necessarily limited to matters required by this Agreement to be disclosed. No disclosure in the Seller Disclosure Schedules relating to any possible breach or violation of any agreement or Law shall be construed as an admission or indication that any such breach or violation exists or has actually occurred.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color w:val="000000"/>
          <w:sz w:val="24"/>
          <w:u w:val="single"/>
        </w:rPr>
        <w:t>Captions</w:t>
      </w:r>
      <w:r>
        <w:rPr>
          <w:rFonts w:ascii="Times New Roman;sans-serif" w:hAnsi="Times New Roman;sans-serif"/>
          <w:b w:val="false"/>
          <w:color w:val="000000"/>
          <w:sz w:val="24"/>
        </w:rPr>
        <w:t>. All captions and section headings contained in this Agreement are for convenience of reference only, do not form a part of this Agreement and shall not affect in any way the meaning or interpretation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color w:val="000000"/>
          <w:sz w:val="24"/>
          <w:u w:val="single"/>
        </w:rPr>
        <w:t>Remedies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Buyer agrees that irreparable damage would occur in the event that Buyer fails to perform any of the provisions of this Agreement in accordance with their specific terms. Accordingly, Seller shall be entitled to pursue specific performance of the terms hereof, including an injunction or injunctions to prevent breaches of this Agreement by Buyer and to enforce specifically the terms and provisions of this Agreement, this being in addition to any other remedy to which Seller is entitled at law or in equity. Buyer hereby further waives (a) any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50520"/>
                <wp:effectExtent l="0" t="0" r="0" b="0"/>
                <wp:wrapNone/>
                <wp:docPr id="242"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defense in any action for specific performance that a remedy at law would be adequate and (b) any requirement under any law to post security as a prerequisite to obtaining equitable relief.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Seller agrees that irreparable damage would occur in the event that Seller fails to perform any of the provisions of this Agreement in accordance with their specific terms. Accordingly, Buyer shall be entitled to pursue specific performance of the terms hereof, including an injunction or injunctions to prevent breaches of this Agreement by Seller and to enforce specifically the terms and provisions of this Agreement, this being in addition to any other remedy to which Buyer is entitled at law or in equity. Seller hereby further waives (i) any defense in any action for specific performance that a remedy at law would be adequate and (ii) any requirement under any law to post security as a prerequisite to obtaining equitable relief.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Any provision of this Agreement which is invalid or unenforceable in any jurisdiction shall be ineffective to the extent of such invalidity or unenforceability without invalidating or rendering unenforceable the remaining provisions hereof, and any such invalidity or unenforceability in any jurisdiction shall not invalidate or render unenforceable such provision in any other jurisdiction.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color w:val="000000"/>
          <w:sz w:val="24"/>
          <w:u w:val="single"/>
        </w:rPr>
        <w:t>Interpretation</w:t>
      </w:r>
      <w:r>
        <w:rPr>
          <w:rFonts w:ascii="Times New Roman;sans-serif" w:hAnsi="Times New Roman;sans-serif"/>
          <w:b w:val="false"/>
          <w:color w:val="000000"/>
          <w:sz w:val="24"/>
        </w:rPr>
        <w:t xml:space="preserve">. The Parties have participated jointly in the negotiation and drafting of this Agreement, and any rule of construction or interpretation otherwise requiring this Agreement to be construed or interpreted against any Party by virtue of the authorship of this Agreement shall not apply to the construction and interpretation hereof. The Parties agree that any drafts of this Agreement or any Ancillary Document prior to the final fully executed drafts shall not be used for purposes of interpreting any provision thereof, and each of the Parties agrees that no Party or any Affiliate thereof shall make any claim, assert any defense or otherwise take any position inconsistent with the foregoing in connection with any Proceeding among any of the foregoing. For the purposes of this Agreement, except as otherwise expressly provided herein or unless the context otherwise requires: (a) the meaning assigned to each term defined herein shall be equally applicable to both the singular and the plural forms of such term and vice versa, and words denoting either gender shall include both genders as the context requires; (b) where a word or phrase is defined herein, each of its other grammatical forms shall have a corresponding meaning; (c) the terms “hereof,” “herein,” “hereunder,” “hereby” and “herewith” and words of similar import shall, unless otherwise stated, be construed to refer to this Agreement (including any exhibit or schedule hereto) as a whole and not to any particular provision of this Agreement; (d) when a reference is made in this Agreement to an Article, Section, paragraph, Exhibit or Schedule, such reference is to an Article, Section, paragraph, Exhibit or Schedule to this Agreement (provided that references to “Schedules” herein shall be deemed to refer to the applicable schedule of the Seller Disclosure Schedules), unless otherwise specified; (e) the word “include,” “includes,” and “including” when used in this Agreement shall be deemed to be followed by the words “but not limited to,” unless otherwise specified; (f) the word “extent” in the phrase “to the extent” shall mean the degree to which a subject or other thing extends, and such phrase shall not mean simply “if” and (g) all accounting terms used and not defined herein have the respective meanings given to them under GAAP. All dollar or “$” amounts set forth in this Agreement shall refer to U.S. dollars unless explicitly indicated otherwise. Time is of the essence for each and every provision of this Agreement. In the computation of periods of time from a specified date to a later specified date, the word “from” means “from and including” and the words “to” and “until” mean “to but excluding” and the word “through” means “to and including.” Whenever the last day for the exercise of any privilege or the discharge of any duty hereunder shall fall upon a day that is not a Business Day, the Party having such privilege or duty may exercise such privilege or discharge such duty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50520"/>
                <wp:effectExtent l="0" t="0" r="0" b="0"/>
                <wp:wrapNone/>
                <wp:docPr id="243"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next succeeding day that is a Business Day. Any reference in this Agreement to “made available” means a document or other information that was provided or made available to Buyer and its Representatives in Seller’s electronic or virtual data rooms, management presentations or in any other form.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color w:val="000000"/>
          <w:sz w:val="24"/>
          <w:u w:val="single"/>
        </w:rPr>
        <w:t>Prevailing Party</w:t>
      </w:r>
      <w:r>
        <w:rPr>
          <w:rFonts w:ascii="Times New Roman;sans-serif" w:hAnsi="Times New Roman;sans-serif"/>
          <w:b w:val="false"/>
          <w:color w:val="000000"/>
          <w:sz w:val="24"/>
        </w:rPr>
        <w:t>. In the event of any Proceeding in connection with this Agreement or any Ancillary Document, the prevailing Party in any such Proceeding shall be entitled to recover from the other Party its costs and expenses, including, without limitation, reasonable legal fees and expenses.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color w:val="000000"/>
          <w:sz w:val="24"/>
          <w:u w:val="single"/>
        </w:rPr>
        <w:t>Further Assurances</w:t>
      </w:r>
      <w:r>
        <w:rPr>
          <w:rFonts w:ascii="Times New Roman;sans-serif" w:hAnsi="Times New Roman;sans-serif"/>
          <w:b w:val="false"/>
          <w:color w:val="000000"/>
          <w:sz w:val="24"/>
        </w:rPr>
        <w:t xml:space="preserve">. Following the Closing, each of the Parties shall, and shall cause their respective Affiliates to, execute and deliver such additional documents, instruments, conveyances and assurances, and take such further actions (at no material cost or expense to the Party to whom the request is directed) as may be reasonably required to carry out the provisions hereof and give effect to the Closing transactions contemplated by this Agreement; </w:t>
      </w:r>
      <w:r>
        <w:rPr>
          <w:rFonts w:ascii="Times New Roman;sans-serif" w:hAnsi="Times New Roman;sans-serif"/>
          <w:b w:val="false"/>
          <w:i/>
          <w:color w:val="000000"/>
          <w:sz w:val="24"/>
        </w:rPr>
        <w:t xml:space="preserve">provided that </w:t>
      </w:r>
      <w:r>
        <w:rPr>
          <w:rFonts w:ascii="Times New Roman;sans-serif" w:hAnsi="Times New Roman;sans-serif"/>
          <w:b w:val="false"/>
          <w:color w:val="000000"/>
          <w:sz w:val="24"/>
        </w:rPr>
        <w:t xml:space="preserve">neither Party shall be required by this </w:t>
      </w:r>
      <w:r>
        <w:rPr>
          <w:rFonts w:ascii="Times New Roman;sans-serif" w:hAnsi="Times New Roman;sans-serif"/>
          <w:b w:val="false"/>
          <w:color w:val="000000"/>
          <w:sz w:val="24"/>
          <w:u w:val="single"/>
        </w:rPr>
        <w:t>Section 11.16</w:t>
      </w:r>
      <w:r>
        <w:rPr>
          <w:color w:val="000000"/>
        </w:rPr>
        <w:t xml:space="preserve"> </w:t>
      </w:r>
      <w:r>
        <w:rPr>
          <w:rFonts w:ascii="Times New Roman;sans-serif" w:hAnsi="Times New Roman;sans-serif"/>
          <w:b w:val="false"/>
          <w:color w:val="000000"/>
          <w:sz w:val="24"/>
        </w:rPr>
        <w:t>to initiate or join in any Proceeding. After the Closing, Seller shall promptly transfer or deliver to Buyer cash, checks (which shall be properly endorsed) or other property that Seller may receive in respect of any item that constitutes part of the Purchased Assets or relates to the Assumed Liabilities. After the Closing, Buyer shall promptly transfer or deliver to Seller cash, checks (which shall be properly endorsed) or other property that Buyer may receive in respect of any item that is an Excluded Asset or relates to the Retained Liabilities.</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0520"/>
                <wp:effectExtent l="0" t="0" r="0" b="0"/>
                <wp:wrapNone/>
                <wp:docPr id="244" name="Frame2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has caused this Agreement to be duly executed on its behalf as of the date first above written.</w:t>
      </w:r>
    </w:p>
    <w:p>
      <w:pPr>
        <w:pStyle w:val="TextBody"/>
        <w:bidi w:val="0"/>
        <w:spacing w:lineRule="auto" w:line="240"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SELLER:</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NOBLE HOUSE HOME FURNISHINGS LLC</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BEST SELLING HOME DECOR FURNITURE, LLC</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LE POUF, LLC</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NH SERVICES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Gayla Bella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Name: Gayla Bella</w:t>
      </w:r>
    </w:p>
    <w:p>
      <w:pPr>
        <w:pStyle w:val="TextBody"/>
        <w:bidi w:val="0"/>
        <w:spacing w:lineRule="auto" w:line="240" w:before="0" w:after="720"/>
        <w:jc w:val="left"/>
        <w:rPr>
          <w:color w:val="000000"/>
        </w:rPr>
      </w:pPr>
      <w:r>
        <w:rPr>
          <w:color w:val="000000"/>
        </w:rPr>
        <w:t>    </w:t>
      </w:r>
      <w:r>
        <w:rPr>
          <w:rFonts w:ascii="Times New Roman;sans-serif" w:hAnsi="Times New Roman;sans-serif"/>
          <w:b w:val="false"/>
          <w:color w:val="000000"/>
          <w:sz w:val="24"/>
        </w:rPr>
        <w:t>Title: CFO</w:t>
      </w:r>
    </w:p>
    <w:p>
      <w:pPr>
        <w:pStyle w:val="TextBody"/>
        <w:bidi w:val="0"/>
        <w:spacing w:lineRule="auto" w:line="240"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BUYER:</w:t>
      </w:r>
    </w:p>
    <w:p>
      <w:pPr>
        <w:pStyle w:val="TextBody"/>
        <w:bidi w:val="0"/>
        <w:spacing w:lineRule="auto" w:line="240" w:before="0" w:after="720"/>
        <w:jc w:val="left"/>
        <w:rPr>
          <w:rFonts w:ascii="Times New Roman;sans-serif" w:hAnsi="Times New Roman;sans-serif"/>
          <w:b/>
          <w:color w:val="000000"/>
          <w:sz w:val="24"/>
        </w:rPr>
      </w:pPr>
      <w:r>
        <w:rPr>
          <w:rFonts w:ascii="Times New Roman;sans-serif" w:hAnsi="Times New Roman;sans-serif"/>
          <w:b/>
          <w:color w:val="000000"/>
          <w:sz w:val="24"/>
        </w:rPr>
        <w:t>GIGACLOUD TECHNOLOGY INC</w:t>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Iman Schrock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Name: Iman Schrock</w:t>
      </w:r>
    </w:p>
    <w:p>
      <w:pPr>
        <w:pStyle w:val="TextBody"/>
        <w:bidi w:val="0"/>
        <w:spacing w:lineRule="auto" w:line="240" w:before="0" w:after="720"/>
        <w:jc w:val="left"/>
        <w:rPr>
          <w:color w:val="000000"/>
        </w:rPr>
      </w:pPr>
      <w:r>
        <w:rPr>
          <w:color w:val="000000"/>
        </w:rPr>
        <w:t>    </w:t>
      </w:r>
      <w:r>
        <w:rPr>
          <w:rFonts w:ascii="Times New Roman;sans-serif" w:hAnsi="Times New Roman;sans-serif"/>
          <w:b w:val="false"/>
          <w:color w:val="000000"/>
          <w:sz w:val="24"/>
        </w:rPr>
        <w:t>Title: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5"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ASSET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ASSET PURCHASE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Closing Date Working Capital</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[CONFIDENTIAL; NOT TO BE FILED PUBLICLY]</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16840"/>
                <wp:effectExtent l="0" t="0" r="0" b="0"/>
                <wp:wrapNone/>
                <wp:docPr id="246" name="Frame2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2022380v19</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19</w:t>
      </w:r>
    </w:p>
    <w:p>
      <w:pPr>
        <w:pStyle w:val="TextBody"/>
        <w:bidi w:val="0"/>
        <w:spacing w:before="0" w:after="0"/>
        <w:jc w:val="right"/>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GigaCloud Technology Inc</w:t>
        <w:br/>
        <w:t>Amended and Restated Insider Trading Compliance Policy and Procedures</w:t>
        <w:br/>
        <w:t>(Adopted on January 1, 2024)</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U.S. 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Any insider trading and violation of such laws can undermine investor trust, harm the reputation and integrity of GigaCloud Technology Inc (together with any of its subsidiaries and consolidated affiliated entities,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xml:space="preserve">),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 </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Persons Covered and Administration of Policy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This Insider Trading Compliance Policy and Procedures (this “</w:t>
      </w:r>
      <w:r>
        <w:rPr>
          <w:rFonts w:ascii="Times New Roman;sans-serif" w:hAnsi="Times New Roman;sans-serif"/>
          <w:b w:val="false"/>
          <w:color w:val="000000"/>
          <w:sz w:val="20"/>
          <w:u w:val="single"/>
        </w:rPr>
        <w:t>Policy</w:t>
      </w:r>
      <w:r>
        <w:rPr>
          <w:color w:val="000000"/>
        </w:rPr>
        <w:t>”</w:t>
      </w:r>
      <w:r>
        <w:rPr>
          <w:rFonts w:ascii="Times New Roman;sans-serif" w:hAnsi="Times New Roman;sans-serif"/>
          <w:b w:val="false"/>
          <w:color w:val="000000"/>
          <w:sz w:val="20"/>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Chief Executive Officer or his or her designee or such other officer designated by the Company (the “</w:t>
      </w:r>
      <w:r>
        <w:rPr>
          <w:rFonts w:ascii="Times New Roman;sans-serif" w:hAnsi="Times New Roman;sans-serif"/>
          <w:b w:val="false"/>
          <w:color w:val="000000"/>
          <w:sz w:val="20"/>
          <w:u w:val="single"/>
        </w:rPr>
        <w:t>Compliance Officer</w:t>
      </w:r>
      <w:r>
        <w:rPr>
          <w:color w:val="000000"/>
        </w:rPr>
        <w:t>”</w:t>
      </w:r>
      <w:r>
        <w:rPr>
          <w:rFonts w:ascii="Times New Roman;sans-serif" w:hAnsi="Times New Roman;sans-serif"/>
          <w:b w:val="false"/>
          <w:color w:val="000000"/>
          <w:sz w:val="20"/>
        </w:rPr>
        <w:t>), are referred to collectively as “</w:t>
      </w:r>
      <w:r>
        <w:rPr>
          <w:rFonts w:ascii="Times New Roman;sans-serif" w:hAnsi="Times New Roman;sans-serif"/>
          <w:b w:val="false"/>
          <w:color w:val="000000"/>
          <w:sz w:val="20"/>
          <w:u w:val="single"/>
        </w:rPr>
        <w:t>Covered Persons.</w:t>
      </w:r>
      <w:r>
        <w:rPr>
          <w:color w:val="00000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the “Compliance Officer” shall be the Company’s General Counsel; provided that if the General Counsel is unavailable or personally involved in the transaction at issue, the Compliance Officer shall be the Company’s Chief Executive Officer, or such other person as the Chief Executive Officer may designate from time to time.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Questions regarding the Policy should be directed to the Compliance Officer, who is responsible for the administration of this Policy.</w:t>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Policy 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No Covered Person, which shall include employees identified by the Compliance Officer that are more likely to come into possession of material nonpublic information (as amended from time to time) (“</w:t>
      </w:r>
      <w:r>
        <w:rPr>
          <w:rFonts w:ascii="Times New Roman;sans-serif" w:hAnsi="Times New Roman;sans-serif"/>
          <w:b w:val="false"/>
          <w:color w:val="000000"/>
          <w:sz w:val="20"/>
          <w:u w:val="single"/>
        </w:rPr>
        <w:t>Key Employees</w:t>
      </w:r>
      <w:r>
        <w:rPr>
          <w:color w:val="000000"/>
        </w:rPr>
        <w:t>”</w:t>
      </w:r>
      <w:r>
        <w:rPr>
          <w:rFonts w:ascii="Times New Roman;sans-serif" w:hAnsi="Times New Roman;sans-serif"/>
          <w:b w:val="false"/>
          <w:color w:val="000000"/>
          <w:sz w:val="20"/>
        </w:rPr>
        <w:t xml:space="preserve">),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Access to material nonpublic information about the Company, including the Company’s business, earnings, or prospects, should be limited to officers, directors, and employees of the Company on a “need-to-know” basis. 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Insiders may be liable for communicating or tipping material nonpublic information to a third party (“tippee”), and insider trading violations are not limited to trading or tipping by insiders. Persons other than insiders can also be liable for insider trading, including tippees who trade on material nonpublic information tipped to them or individuals who trade on material nonpublic information that has been misappropriated. Insiders may be held liable for tipping even if they receive no personal benefit from tipping and even if no close personal relationship exists between them and the tippee.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50520"/>
                <wp:effectExtent l="0" t="0" r="0" b="0"/>
                <wp:wrapNone/>
                <wp:docPr id="247" name="Frame2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material nonpublic information by receiving overt tips from others or through, among other things, conversations at social, business, or other gatherings.</w:t>
      </w:r>
    </w:p>
    <w:p>
      <w:pPr>
        <w:pStyle w:val="TextBody"/>
        <w:bidi w:val="0"/>
        <w:spacing w:lineRule="auto" w:line="240" w:before="0" w:after="240"/>
        <w:ind w:left="0" w:right="0" w:firstLine="720"/>
        <w:jc w:val="both"/>
        <w:rPr/>
      </w:pPr>
      <w:r>
        <w:rPr>
          <w:rFonts w:ascii="Times New Roman;sans-serif" w:hAnsi="Times New Roman;sans-serif"/>
          <w:b/>
          <w:i/>
          <w:color w:val="000000"/>
          <w:sz w:val="20"/>
        </w:rPr>
        <w:t xml:space="preserve">Limitations on Access to Company Information </w:t>
      </w:r>
      <w:r>
        <w:rPr>
          <w:rFonts w:ascii="Times New Roman;sans-serif" w:hAnsi="Times New Roman;sans-serif"/>
          <w:b w:val="false"/>
          <w:color w:val="000000"/>
          <w:sz w:val="20"/>
        </w:rPr>
        <w:t>The following procedures are designed to maintain confidentiality with respect to the Company’s business operations and activities. All officers, directors, and employees should take all steps and precautions necessary to restrict access to, and secure, material nonpublic information by, among other things:</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maintaining the confidentiality of Company-related transactions;</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conducting their business and social activities so as not to risk inadvertent disclosure of confidential information. Review of confidential documents in public places should be conducted so as to prevent access by unauthorized persons;</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restricting access to documents and files (including computer files) containing material nonpublic information to individuals on a “need-to-know” basis (including maintaining control over the distribution of documents and drafts of documents);</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promptly removing and cleaning up all confidential documents and other materials from conference rooms following the conclusion of any meetings;</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disposing of all confidential documents and other papers once there is no longer any business or other legally required need — through shredders when appropriate;</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restricting access to areas likely to contain confidential documents or material nonpublic information;</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safeguarding laptop computers, tablets, memory sticks, CDs, and other items that contain confidential information; and</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avoiding the discussion of material nonpublic information in places where the information could be overheard by others, such as in elevators, restrooms, hallways, restaurants, airplanes, or taxicabs.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Personnel involved with material nonpublic information, to the extent feasible, should conduct their business and activities in areas separate from other Company activities.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0"/>
          <w:u w:val="single"/>
        </w:rPr>
        <w:t>Insider trading</w:t>
      </w:r>
      <w:r>
        <w:rPr>
          <w:color w:val="000000"/>
        </w:rPr>
        <w:t xml:space="preserve">” </w:t>
      </w:r>
      <w:r>
        <w:rPr>
          <w:rFonts w:ascii="Times New Roman;sans-serif" w:hAnsi="Times New Roman;sans-serif"/>
          <w:b w:val="false"/>
          <w:color w:val="000000"/>
          <w:sz w:val="20"/>
        </w:rPr>
        <w:t>refers to the purchase or sale of a security while in possession of material nonpublic information relating to the security.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0"/>
          <w:u w:val="single"/>
        </w:rPr>
        <w:t>Securities</w:t>
      </w:r>
      <w:r>
        <w:rPr>
          <w:color w:val="000000"/>
        </w:rPr>
        <w:t xml:space="preserve">” </w:t>
      </w:r>
      <w:r>
        <w:rPr>
          <w:rFonts w:ascii="Times New Roman;sans-serif" w:hAnsi="Times New Roman;sans-serif"/>
          <w:b w:val="false"/>
          <w:color w:val="000000"/>
          <w:sz w:val="20"/>
        </w:rPr>
        <w:t>includes shares, bonds, notes, debentures, options, warrants, equity and other convertible securities, as well as derivative instruments.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0"/>
          <w:u w:val="single"/>
        </w:rPr>
        <w:t>Purchase</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color w:val="000000"/>
          <w:sz w:val="20"/>
          <w:u w:val="single"/>
        </w:rPr>
        <w:t>sale</w:t>
      </w:r>
      <w:r>
        <w:rPr>
          <w:color w:val="000000"/>
        </w:rPr>
        <w:t xml:space="preserve">” </w:t>
      </w:r>
      <w:r>
        <w:rPr>
          <w:rFonts w:ascii="Times New Roman;sans-serif" w:hAnsi="Times New Roman;sans-serif"/>
          <w:b w:val="false"/>
          <w:color w:val="000000"/>
          <w:sz w:val="20"/>
        </w:rPr>
        <w:t xml:space="preserve">are defined broadly under the federal securities law. </w:t>
      </w:r>
      <w:r>
        <w:rPr>
          <w:color w:val="000000"/>
        </w:rPr>
        <w:t>“</w:t>
      </w:r>
      <w:r>
        <w:rPr>
          <w:rFonts w:ascii="Times New Roman;sans-serif" w:hAnsi="Times New Roman;sans-serif"/>
          <w:b w:val="false"/>
          <w:color w:val="000000"/>
          <w:sz w:val="20"/>
        </w:rPr>
        <w:t>Purchase</w:t>
      </w:r>
      <w:r>
        <w:rPr>
          <w:color w:val="000000"/>
        </w:rPr>
        <w:t xml:space="preserve">” </w:t>
      </w:r>
      <w:r>
        <w:rPr>
          <w:rFonts w:ascii="Times New Roman;sans-serif" w:hAnsi="Times New Roman;sans-serif"/>
          <w:b w:val="false"/>
          <w:color w:val="000000"/>
          <w:sz w:val="20"/>
        </w:rPr>
        <w:t xml:space="preserve">includes not only the actual purchase of a security, but also any contract to purchase or otherwise acquire a security. </w:t>
      </w:r>
      <w:r>
        <w:rPr>
          <w:color w:val="000000"/>
        </w:rPr>
        <w:t>“</w:t>
      </w:r>
      <w:r>
        <w:rPr>
          <w:rFonts w:ascii="Times New Roman;sans-serif" w:hAnsi="Times New Roman;sans-serif"/>
          <w:b w:val="false"/>
          <w:color w:val="000000"/>
          <w:sz w:val="20"/>
        </w:rPr>
        <w:t>Sale</w:t>
      </w:r>
      <w:r>
        <w:rPr>
          <w:color w:val="000000"/>
        </w:rPr>
        <w:t xml:space="preserve">” </w:t>
      </w:r>
      <w:r>
        <w:rPr>
          <w:rFonts w:ascii="Times New Roman;sans-serif" w:hAnsi="Times New Roman;sans-serif"/>
          <w:b w:val="false"/>
          <w:color w:val="000000"/>
          <w:sz w:val="20"/>
        </w:rPr>
        <w:t>includes not only the actual sale of a security, but also any contract to sell or otherwise dispose of a security. These definitions extend to a broad range of transactions, including conventional cash-for-shares transactions, conversions, the exercise of share options, transfers, gifts, and acquisitions and exercises of warrants or puts, calls, pledging and margin loans, or other derivative securities.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and regulations concerning insider trading are complex, and Covered Persons are encouraged to seek guidance from the Compliance Officer prior to considering a transaction in Company securities. </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Blackout Periods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Compliance Officer may recommend that directors, officers, employees or others suspend trading in Company securities because of developments that have not yet been disclosed to the public, such period, a “blackout period.”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imposes the following blackout periods:</w:t>
      </w:r>
    </w:p>
    <w:p>
      <w:pPr>
        <w:pStyle w:val="TextBody"/>
        <w:bidi w:val="0"/>
        <w:spacing w:lineRule="auto" w:line="240" w:before="0" w:after="240"/>
        <w:ind w:left="0" w:right="0" w:hanging="360"/>
        <w:jc w:val="both"/>
        <w:rPr/>
      </w:pPr>
      <w:r>
        <w:rPr>
          <w:color w:val="000000"/>
        </w:rPr>
        <w:t>•</w:t>
      </w:r>
      <w:r>
        <w:rPr>
          <w:rFonts w:ascii="Times New Roman;sans-serif" w:hAnsi="Times New Roman;sans-serif"/>
          <w:b/>
          <w:color w:val="000000"/>
          <w:sz w:val="20"/>
        </w:rPr>
        <w:t>For officers, directors and Key Employees</w:t>
      </w:r>
      <w:r>
        <w:rPr>
          <w:rFonts w:ascii="Times New Roman;sans-serif" w:hAnsi="Times New Roman;sans-serif"/>
          <w:b w:val="false"/>
          <w:color w:val="000000"/>
          <w:sz w:val="20"/>
        </w:rPr>
        <w:t xml:space="preserve">: no officer, director, or Key Employee shall purchase or sell any security of the Company during the period beginning at 11:59 p.m. Eastern Time, on the day of the end of any fiscal quarter of the Company and ending upon completion of the second full Trading Day (defined below) after the public release of earnings data for such fiscal quarter or during any other trading suspension period declared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0520"/>
                <wp:effectExtent l="0" t="0" r="0" b="0"/>
                <wp:wrapNone/>
                <wp:docPr id="248" name="Frame2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Company. For example, if the Company’s fourth fiscal quarter ends on December 31, the corresponding black-out period for officers, directors and Key Employees would begin at 11:59 p.m., Eastern time, on December 31 and end at the close of trading (generally, 4:01 p.m., Eastern time) on the second full Trading Day after the public release of earnings data for such fiscal quarter. The term “</w:t>
      </w:r>
      <w:r>
        <w:rPr>
          <w:rFonts w:ascii="Times New Roman;sans-serif" w:hAnsi="Times New Roman;sans-serif"/>
          <w:b w:val="false"/>
          <w:color w:val="000000"/>
          <w:sz w:val="20"/>
          <w:u w:val="single"/>
        </w:rPr>
        <w:t>Trading Day</w:t>
      </w:r>
      <w:r>
        <w:rPr>
          <w:color w:val="000000"/>
        </w:rPr>
        <w:t xml:space="preserve">” </w:t>
      </w:r>
      <w:r>
        <w:rPr>
          <w:rFonts w:ascii="Times New Roman;sans-serif" w:hAnsi="Times New Roman;sans-serif"/>
          <w:b w:val="false"/>
          <w:color w:val="000000"/>
          <w:sz w:val="20"/>
        </w:rPr>
        <w:t>is defined as a day on which the NASDAQ Stock Market (“</w:t>
      </w:r>
      <w:r>
        <w:rPr>
          <w:rFonts w:ascii="Times New Roman;sans-serif" w:hAnsi="Times New Roman;sans-serif"/>
          <w:b w:val="false"/>
          <w:color w:val="000000"/>
          <w:sz w:val="20"/>
          <w:u w:val="single"/>
        </w:rPr>
        <w:t>NASDAQ</w:t>
      </w:r>
      <w:r>
        <w:rPr>
          <w:color w:val="000000"/>
        </w:rPr>
        <w:t>”</w:t>
      </w:r>
      <w:r>
        <w:rPr>
          <w:rFonts w:ascii="Times New Roman;sans-serif" w:hAnsi="Times New Roman;sans-serif"/>
          <w:b w:val="false"/>
          <w:color w:val="000000"/>
          <w:sz w:val="20"/>
        </w:rPr>
        <w:t>) is open for trading. The NASDAQ’s regular trading hours are from 9:30 a.m. to 4:00 p.m., New York City time, Monday through Friday.</w:t>
      </w:r>
    </w:p>
    <w:p>
      <w:pPr>
        <w:pStyle w:val="TextBody"/>
        <w:bidi w:val="0"/>
        <w:spacing w:lineRule="auto" w:line="240" w:before="0" w:after="240"/>
        <w:ind w:left="0" w:right="0" w:hanging="360"/>
        <w:jc w:val="both"/>
        <w:rPr/>
      </w:pPr>
      <w:r>
        <w:rPr>
          <w:color w:val="000000"/>
        </w:rPr>
        <w:t>•</w:t>
      </w:r>
      <w:r>
        <w:rPr>
          <w:rFonts w:ascii="Times New Roman;sans-serif" w:hAnsi="Times New Roman;sans-serif"/>
          <w:b/>
          <w:color w:val="000000"/>
          <w:sz w:val="20"/>
        </w:rPr>
        <w:t>For all employees other than officers, directors, or Key Employees (each a “</w:t>
      </w:r>
      <w:r>
        <w:rPr>
          <w:rFonts w:ascii="Times New Roman;sans-serif" w:hAnsi="Times New Roman;sans-serif"/>
          <w:b/>
          <w:color w:val="000000"/>
          <w:sz w:val="20"/>
          <w:u w:val="single"/>
        </w:rPr>
        <w:t>Non-Key Employee</w:t>
      </w:r>
      <w:r>
        <w:rPr>
          <w:color w:val="000000"/>
        </w:rPr>
        <w:t>”</w:t>
      </w:r>
      <w:r>
        <w:rPr>
          <w:rFonts w:ascii="Times New Roman;sans-serif" w:hAnsi="Times New Roman;sans-serif"/>
          <w:b/>
          <w:color w:val="000000"/>
          <w:sz w:val="20"/>
        </w:rPr>
        <w:t>)</w:t>
      </w:r>
      <w:r>
        <w:rPr>
          <w:rFonts w:ascii="Times New Roman;sans-serif" w:hAnsi="Times New Roman;sans-serif"/>
          <w:b w:val="false"/>
          <w:color w:val="000000"/>
          <w:sz w:val="20"/>
        </w:rPr>
        <w:t>: no Non-Key Employee shall purchase or sell any security of the Company during the period beginning at 11:59 p.m. Eastern Time, on the 14th calendar day after the end of any fiscal quarter of the Company and ending upon completion of the second full Trading Day after the public release of earnings data for such fiscal quarter or during any other trading suspension period declared by the Company. For example, if the Company’s fourth fiscal quarter ends on December 31, the corresponding black-out period for Non-Key Employees would begin at 11:59 p.m., Eastern time, on January 14 and end at the close of trading (generally, 4:01 p.m., Eastern time) on the second full Trading Day after the public release of earnings data for such fiscal quarter.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for example, the Company were to make an announcement on Monday prior to 9:30 a.m. Eastern Time, then the blackout period would terminate after the close of trading at 4:01 p.m. Eastern Time on Tuesday. If an announcement were made on Monday after 9:30 a.m. Eastern Time, then the blackout period would terminate after the close of trading at 4:01 p.m. Eastern Time on Wednesday. If you have any question as to whether information is publicly available, please direct an inquiry to the Compliance Officer.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exceptions noted below, all of those individuals affected should not trade in the Company’s securities while the suspension is in effect, and should not disclose to others that the Company has suspended trading.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prohibitions do not apply to:</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purchases of the Company’s securities from the Company (e.g., Employee Share Purchase Plan), or sales of the Company’s securities to the Company;</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exercises of share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share option or other equity award through a broker does involve a market sale of the Company’s securities, and therefore would not qualify under this exception); or</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purchases or sales of the Company’s securities (i) mandated under an employee benefit plan maintained by the Company which authorizes the sale of only such securities as are necessary to satisfy tax withholding obligations arising exclusively from the vesting of a compensatory award or (ii) made pursuant to a plan adopted to comply with the Exchange Act Rule 10b5-1 (“</w:t>
      </w:r>
      <w:r>
        <w:rPr>
          <w:rFonts w:ascii="Times New Roman;sans-serif" w:hAnsi="Times New Roman;sans-serif"/>
          <w:b w:val="false"/>
          <w:color w:val="000000"/>
          <w:sz w:val="20"/>
          <w:u w:val="single"/>
        </w:rPr>
        <w:t>Rule 10b5-1</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Exceptions to the blackout period policy may be approved by the Compliance Officer (or, in the case of an exception for the Compliance Officer, the Chief Executive Officer), including any exceptions for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 xml:space="preserve">gifts of the Company’s securities. </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Preclearance of Transactions by Directors, Officers and Certain Key Employees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All transactions (including gifts) in the Company’s securities by directors, officers and Key Employees (each, a “</w:t>
      </w:r>
      <w:r>
        <w:rPr>
          <w:rFonts w:ascii="Times New Roman;sans-serif" w:hAnsi="Times New Roman;sans-serif"/>
          <w:b w:val="false"/>
          <w:color w:val="000000"/>
          <w:sz w:val="20"/>
          <w:u w:val="single"/>
        </w:rPr>
        <w:t>Preclearance Person</w:t>
      </w:r>
      <w:r>
        <w:rPr>
          <w:color w:val="000000"/>
        </w:rPr>
        <w:t>”</w:t>
      </w:r>
      <w:r>
        <w:rPr>
          <w:rFonts w:ascii="Times New Roman;sans-serif" w:hAnsi="Times New Roman;sans-serif"/>
          <w:b w:val="false"/>
          <w:color w:val="000000"/>
          <w:sz w:val="20"/>
        </w:rPr>
        <w:t xml:space="preserve">) must be precleared by the Compliance Officer or the Chief Executive Officer for transactions by the Compliance Officer. Preclearance should not be understood to represent legal advice by the company that a proposed transaction complies with the law.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request for preclearance must be in writing, should be made at least twenty-four (24) hours in advance of the proposed transaction by completing and submitting to the Compliance Officer the preclearance request form attached hereto as “Attachment A”, and should include the identity of the Preclearance Person, a description of the proposed transaction, the proposed date of the transaction, and the number of shares or other securities involved. In addition, the Preclearance Person must execute a certification (in the form approved by the Compliance Officer) that he or she is not aware of material nonpublic information about the Company. The Compliance Officer, or the Chief Executive Officer for transactions by the Compliance Officer, shall have sole discretion to decide whether to clear any contemplated transaction. All transactions that are precleared must be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0520"/>
                <wp:effectExtent l="0" t="0" r="0" b="0"/>
                <wp:wrapNone/>
                <wp:docPr id="249" name="Frame2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effected within five business days of receipt of the preclearance. A precleared transaction (or any portion of a precleared transaction)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 the Compliance Officer, or the Company’s other employees will have any liability for any delay in reviewing, or refusal of, a request for preclearance.</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Material Nonpublic Information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Information is considered “</w:t>
      </w:r>
      <w:r>
        <w:rPr>
          <w:rFonts w:ascii="Times New Roman;sans-serif" w:hAnsi="Times New Roman;sans-serif"/>
          <w:b w:val="false"/>
          <w:color w:val="000000"/>
          <w:sz w:val="20"/>
          <w:u w:val="single"/>
        </w:rPr>
        <w:t>material</w:t>
      </w:r>
      <w:r>
        <w:rPr>
          <w:color w:val="000000"/>
        </w:rPr>
        <w:t xml:space="preserve">” </w:t>
      </w:r>
      <w:r>
        <w:rPr>
          <w:rFonts w:ascii="Times New Roman;sans-serif" w:hAnsi="Times New Roman;sans-serif"/>
          <w:b w:val="false"/>
          <w:color w:val="000000"/>
          <w:sz w:val="20"/>
        </w:rPr>
        <w:t>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Examples of material information may include (but are not limited to) information about:</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corporate earnings or earnings forecasts;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possible mergers, acquisitions, tender offers, or dispositions;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major new products or product developments;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important business developments, such as developments regarding strategic collaborations or the status of regulatory submissions;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management or control changes;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significant financing developments including pending public sales or offerings of debt or equity securities;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defaults on borrowings;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bankruptcies;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cybersecurity or data security incidents; and</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significant litigation or regulatory actions.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Information is “</w:t>
      </w:r>
      <w:r>
        <w:rPr>
          <w:rFonts w:ascii="Times New Roman;sans-serif" w:hAnsi="Times New Roman;sans-serif"/>
          <w:b w:val="false"/>
          <w:color w:val="000000"/>
          <w:sz w:val="20"/>
          <w:u w:val="single"/>
        </w:rPr>
        <w:t>nonpublic</w:t>
      </w:r>
      <w:r>
        <w:rPr>
          <w:color w:val="000000"/>
        </w:rPr>
        <w:t xml:space="preserve">” </w:t>
      </w:r>
      <w:r>
        <w:rPr>
          <w:rFonts w:ascii="Times New Roman;sans-serif" w:hAnsi="Times New Roman;sans-serif"/>
          <w:b w:val="false"/>
          <w:color w:val="000000"/>
          <w:sz w:val="20"/>
        </w:rPr>
        <w:t>if it is not available to the general public. In order for information to be considered “</w:t>
      </w:r>
      <w:r>
        <w:rPr>
          <w:rFonts w:ascii="Times New Roman;sans-serif" w:hAnsi="Times New Roman;sans-serif"/>
          <w:b w:val="false"/>
          <w:color w:val="000000"/>
          <w:sz w:val="20"/>
          <w:u w:val="single"/>
        </w:rPr>
        <w:t>public</w:t>
      </w:r>
      <w:r>
        <w:rPr>
          <w:rFonts w:ascii="Times New Roman;sans-serif" w:hAnsi="Times New Roman;sans-serif"/>
          <w:b w:val="false"/>
          <w:color w:val="000000"/>
          <w:sz w:val="20"/>
        </w:rPr>
        <w:t>,” it must be widely disseminated in a manner that makes it generally available to investors in a Regulation FD-compliant method, such as through a press release, a filing with the U.S. Securities and Exchange Commission (the “</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 xml:space="preserve">) or a Regulation FD-compliant conference call. Note that simply posting information to the Company’s website may not be sufficient to make the information public. The Compliance Officer shall have sole discretion to decide whether information is public for purposes of this Policy.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circulation of rumors, even if accurate and reported in the media, does not constitute public dissemination. In addition, even after a public announcement, a reasonable period of time may need to lapse in order for the market to react to the information. Generally, the passage of one to two full trading days following release of the information to the public, is a reasonable waiting period before such information is deemed to be public. </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Post-Termination Transactions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individual is in possession of material nonpublic information when the individual’s service terminates, the individual may not trade in the Company’s securities until that information has become public or is no longer material.</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0520"/>
                <wp:effectExtent l="0" t="0" r="0" b="0"/>
                <wp:wrapNone/>
                <wp:docPr id="250"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Prohibited Transactions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pStyle w:val="TextBody"/>
        <w:bidi w:val="0"/>
        <w:spacing w:lineRule="auto" w:line="240"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Short Sales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shareholders) from making short sales of the Company’s equity securities.</w:t>
      </w:r>
    </w:p>
    <w:p>
      <w:pPr>
        <w:pStyle w:val="TextBody"/>
        <w:bidi w:val="0"/>
        <w:spacing w:lineRule="auto" w:line="240"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shares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 </w:t>
      </w:r>
    </w:p>
    <w:p>
      <w:pPr>
        <w:pStyle w:val="TextBody"/>
        <w:bidi w:val="0"/>
        <w:spacing w:lineRule="auto" w:line="240"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Hedging Transactions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shareholders. </w:t>
      </w:r>
    </w:p>
    <w:p>
      <w:pPr>
        <w:pStyle w:val="TextBody"/>
        <w:bidi w:val="0"/>
        <w:spacing w:lineRule="auto" w:line="240"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Margin Accounts and Pledging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share options under the Company’s equity plans, nor to situations approved in advance by the Compliance Officer.</w:t>
      </w:r>
    </w:p>
    <w:p>
      <w:pPr>
        <w:pStyle w:val="TextBody"/>
        <w:bidi w:val="0"/>
        <w:spacing w:lineRule="auto" w:line="240"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Partnership Distributions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Nothing in this Policy is intended to limit the ability of an investment fund, venture capital partnership or other similar entity with which a director is affiliated to distribute Company securities to its partners, members, or other similar persons; provided, however, it is the responsibility of each such affected director and affiliated entity, in consultation with its own counsel (as appropriate), to determine the timing of any distributions, based on relevant facts and circumstances, and applicable securities laws.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Rule 10b5-1 Trading Plans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The trading restrictions set forth in this Policy, other than those transactions described under “</w:t>
      </w:r>
      <w:r>
        <w:rPr>
          <w:rFonts w:ascii="Times New Roman;sans-serif" w:hAnsi="Times New Roman;sans-serif"/>
          <w:b w:val="false"/>
          <w:color w:val="000000"/>
          <w:sz w:val="20"/>
          <w:u w:val="single"/>
        </w:rPr>
        <w:t>Prohibited Transactions</w:t>
      </w:r>
      <w:r>
        <w:rPr>
          <w:rFonts w:ascii="Times New Roman;sans-serif" w:hAnsi="Times New Roman;sans-serif"/>
          <w:b w:val="false"/>
          <w:color w:val="000000"/>
          <w:sz w:val="20"/>
        </w:rPr>
        <w:t>,” do not apply to transactions under a previously established contract, plan or instruction to trade in the Company’s securities entered into in accordance with Rule 10b5-1 (a “</w:t>
      </w:r>
      <w:r>
        <w:rPr>
          <w:rFonts w:ascii="Times New Roman;sans-serif" w:hAnsi="Times New Roman;sans-serif"/>
          <w:b w:val="false"/>
          <w:color w:val="000000"/>
          <w:sz w:val="20"/>
          <w:u w:val="single"/>
        </w:rPr>
        <w:t>Trading Plan</w:t>
      </w:r>
      <w:r>
        <w:rPr>
          <w:color w:val="000000"/>
        </w:rPr>
        <w:t>”</w:t>
      </w:r>
      <w:r>
        <w:rPr>
          <w:rFonts w:ascii="Times New Roman;sans-serif" w:hAnsi="Times New Roman;sans-serif"/>
          <w:b w:val="false"/>
          <w:color w:val="000000"/>
          <w:sz w:val="20"/>
        </w:rPr>
        <w:t xml:space="preserve">) that: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has been submitted to and preapproved by the Compliance Officer;</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 xml:space="preserve">includes a “Cooling Off Period” for </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oSection 16 reporting persons that extends to the later of 90 days after adoption or modification of a Trading Plan or two business days after filing the Form 10-K or Form 10-Q covering the fiscal quarter in which the Trading Plan was adopted, up to a maximum of 120 days; and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0520"/>
                <wp:effectExtent l="0" t="0" r="0" b="0"/>
                <wp:wrapNone/>
                <wp:docPr id="251" name="Frame2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oemployees and any other persons, other than the Company, that extends 30 days after adoption or modification of a Trading Plan;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 </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pStyle w:val="TextBody"/>
        <w:bidi w:val="0"/>
        <w:spacing w:lineRule="auto" w:line="240" w:before="0" w:after="240"/>
        <w:ind w:left="0" w:right="0" w:hanging="720"/>
        <w:jc w:val="both"/>
        <w:rPr/>
      </w:pPr>
      <w:r>
        <w:rPr>
          <w:color w:val="000000"/>
        </w:rPr>
        <w:t>•</w:t>
      </w:r>
      <w:r>
        <w:rPr>
          <w:rFonts w:ascii="Times New Roman;sans-serif" w:hAnsi="Times New Roman;sans-serif"/>
          <w:b w:val="false"/>
          <w:color w:val="000000"/>
          <w:sz w:val="20"/>
        </w:rPr>
        <w:t>complies with all other applicable requirements of Rule 10b5-1.</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(including Trading Plans which authorize an agent to sell only such securities as are necessary to satisfy tax withholding obligations arising exclusively from the vesting of a compensatory award) and subject to preapproval by the Compliance Officer.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individual may only modify a Trading Plan outside of a blackout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Interpretation, Amendment, and Implementation of this Policy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Actions taken by the Company, the Compliance Officer, or any other Company personnel do not constitute legal advice, nor do they insulate you from the consequences of noncompliance with this Policy or with securities laws. </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Certification of Compliance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reading this Policy, all officers, directors, and employees should execute and return to the Company’s Compliance Officer the Certification of Compliance form attached hereto as “Attachment B.”</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directors, officers, employees and others subject to this Policy may be asked periodically to certify their compliance with the terms and provisions of this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Attachment A</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0520"/>
                <wp:effectExtent l="0" t="0" r="0" b="0"/>
                <wp:wrapNone/>
                <wp:docPr id="252" name="Frame2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GigaCloud Technology Inc (the “Company”) </w:t>
        <w:br/>
        <w:t>Preclearance Request Form</w:t>
      </w:r>
    </w:p>
    <w:p>
      <w:pPr>
        <w:pStyle w:val="TextBody"/>
        <w:bidi w:val="0"/>
        <w:spacing w:lineRule="auto" w:line="240" w:before="12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To:    Compliance Officer</w:t>
      </w:r>
    </w:p>
    <w:p>
      <w:pPr>
        <w:pStyle w:val="TextBody"/>
        <w:bidi w:val="0"/>
        <w:spacing w:lineRule="auto" w:line="240" w:before="12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Request for preclearance of transaction in the Company’s Securities</w:t>
      </w:r>
    </w:p>
    <w:p>
      <w:pPr>
        <w:pStyle w:val="TextBody"/>
        <w:bidi w:val="0"/>
        <w:spacing w:lineRule="auto" w:line="240" w:before="0" w:after="240"/>
        <w:jc w:val="both"/>
        <w:rPr/>
      </w:pPr>
      <w:r>
        <w:rPr>
          <w:rFonts w:ascii="Times New Roman;sans-serif" w:hAnsi="Times New Roman;sans-serif"/>
          <w:b w:val="false"/>
          <w:color w:val="000000"/>
          <w:sz w:val="24"/>
        </w:rPr>
        <w:t>I hereby request that the Company pre-clear the transaction described below as required by the Company’s Insider Trading Compliance Policy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xml:space="preserve">). I understand that all trades must be effected with five (5) business days of receiving preclearance. </w:t>
      </w:r>
    </w:p>
    <w:p>
      <w:pPr>
        <w:pStyle w:val="TextBody"/>
        <w:bidi w:val="0"/>
        <w:spacing w:lineRule="auto" w:line="333" w:before="0" w:after="0"/>
        <w:jc w:val="left"/>
        <w:rPr/>
      </w:pPr>
      <w:r>
        <w:rPr>
          <w:rFonts w:ascii="Times New Roman;sans-serif" w:hAnsi="Times New Roman;sans-serif"/>
          <w:b w:val="false"/>
          <w:color w:val="000000"/>
          <w:sz w:val="24"/>
        </w:rPr>
        <w:t xml:space="preserve">Proposed Transaction Date: </w:t>
      </w:r>
      <w:r>
        <w:rPr>
          <w:color w:val="000000"/>
          <w:u w:val="single"/>
        </w:rPr>
        <w:t>            </w:t>
      </w:r>
      <w:r>
        <w:rPr>
          <w:color w:val="000000"/>
        </w:rPr>
        <w:t>    </w:t>
      </w:r>
      <w:r>
        <w:rPr>
          <w:rFonts w:ascii="Times New Roman;sans-serif" w:hAnsi="Times New Roman;sans-serif"/>
          <w:b w:val="false"/>
          <w:color w:val="000000"/>
          <w:sz w:val="24"/>
        </w:rPr>
        <w:t xml:space="preserve">No. of Securities: </w:t>
      </w:r>
      <w:r>
        <w:rPr>
          <w:color w:val="000000"/>
          <w:u w:val="single"/>
        </w:rPr>
        <w:t>            </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Description of transaction:</w:t>
      </w:r>
    </w:p>
    <w:p>
      <w:pPr>
        <w:pStyle w:val="TextBody"/>
        <w:bidi w:val="0"/>
        <w:spacing w:lineRule="auto" w:line="333" w:before="0" w:after="0"/>
        <w:jc w:val="left"/>
        <w:rPr/>
      </w:pPr>
      <w:r>
        <w:rPr>
          <w:rFonts w:ascii="Times New Roman;sans-serif" w:hAnsi="Times New Roman;sans-serif"/>
          <w:b w:val="false"/>
          <w:color w:val="000000"/>
          <w:sz w:val="24"/>
        </w:rPr>
        <w:t>Open market purchase/sale                </w:t>
      </w:r>
      <w:r>
        <w:rPr>
          <w:color w:val="000000"/>
        </w:rPr>
        <w:t xml:space="preserve"> </w:t>
      </w:r>
      <w:r>
        <w:rPr>
          <w:rFonts w:ascii="Times New Roman;sans-serif" w:hAnsi="Times New Roman;sans-serif"/>
          <w:b w:val="false"/>
          <w:color w:val="000000"/>
          <w:sz w:val="24"/>
        </w:rPr>
        <w:t xml:space="preserve">Privately negotiated purchase/sale </w:t>
      </w:r>
    </w:p>
    <w:p>
      <w:pPr>
        <w:pStyle w:val="TextBody"/>
        <w:bidi w:val="0"/>
        <w:spacing w:lineRule="auto" w:line="333" w:before="0" w:after="0"/>
        <w:jc w:val="left"/>
        <w:rPr/>
      </w:pPr>
      <w:r>
        <w:rPr>
          <w:rFonts w:ascii="Times New Roman;sans-serif" w:hAnsi="Times New Roman;sans-serif"/>
          <w:b w:val="false"/>
          <w:color w:val="000000"/>
          <w:sz w:val="24"/>
        </w:rPr>
        <w:t>Option exercise followed by open market sale     </w:t>
      </w:r>
      <w:r>
        <w:rPr>
          <w:color w:val="000000"/>
        </w:rPr>
        <w:t xml:space="preserve"> </w:t>
      </w:r>
      <w:r>
        <w:rPr>
          <w:rFonts w:ascii="Times New Roman;sans-serif" w:hAnsi="Times New Roman;sans-serif"/>
          <w:b w:val="false"/>
          <w:color w:val="000000"/>
          <w:sz w:val="24"/>
        </w:rPr>
        <w:t>Other (describe):</w:t>
      </w:r>
    </w:p>
    <w:p>
      <w:pPr>
        <w:pStyle w:val="TextBody"/>
        <w:bidi w:val="0"/>
        <w:spacing w:lineRule="auto" w:line="333" w:before="0" w:after="0"/>
        <w:jc w:val="center"/>
        <w:rPr>
          <w:color w:val="000000"/>
          <w:u w:val="single"/>
        </w:rPr>
      </w:pPr>
      <w:r>
        <w:rPr>
          <w:color w:val="000000"/>
          <w:u w:val="single"/>
        </w:rPr>
        <w:t>                    </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am not aware or in possession of material non-public information (as described in the Policy) about the Company and I will not enter into the transaction if I come into possession of material non-public information about the Company between the date hereof and the date I execute the trade. I understand that clearance may be rescinded prior to executing the transaction if material non-public information about the Company arises and, in the reasonable judgment of the Company, the completion of the transaction would be inadvisable. I understand that the ultimate responsibility for compliance with the insider trading provisions of federal securities laws rests with me and that preclearance of any proposed transaction should not be construed as a guarantee that I will not later be found to have been in possession of material non-public information.</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have read and understand the Policy and certify that the proposed transaction will not violate the Policy. </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agree to advise the Company promptly if, as a result of future developments, any of the foregoing information becomes inaccurate or incomplete in any respect. I understand that the Company may require additional information about the transaction, and agree to provide such information upon request. </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val="false"/>
          <w:color w:val="000000"/>
          <w:sz w:val="24"/>
        </w:rPr>
        <w:t xml:space="preserve">Application Date: </w:t>
      </w:r>
      <w:r>
        <w:rPr>
          <w:color w:val="000000"/>
          <w:u w:val="single"/>
        </w:rPr>
        <w:t>    </w:t>
      </w:r>
      <w:r>
        <w:rPr>
          <w:color w:val="000000"/>
        </w:rPr>
        <w:t>    </w:t>
      </w:r>
      <w:r>
        <w:rPr>
          <w:rFonts w:ascii="Times New Roman;sans-serif" w:hAnsi="Times New Roman;sans-serif"/>
          <w:b w:val="false"/>
          <w:color w:val="000000"/>
          <w:sz w:val="24"/>
        </w:rPr>
        <w:t>Sincerely,</w:t>
      </w:r>
    </w:p>
    <w:p>
      <w:pPr>
        <w:pStyle w:val="TextBody"/>
        <w:bidi w:val="0"/>
        <w:spacing w:before="0" w:after="0"/>
        <w:ind w:left="0" w:right="0" w:firstLine="8640"/>
        <w:jc w:val="left"/>
        <w:rPr/>
      </w:pPr>
      <w:r>
        <w:rPr/>
      </w:r>
    </w:p>
    <w:p>
      <w:pPr>
        <w:pStyle w:val="TextBody"/>
        <w:bidi w:val="0"/>
        <w:spacing w:lineRule="auto" w:line="333" w:before="0" w:after="0"/>
        <w:ind w:left="0" w:right="0" w:firstLine="10"/>
        <w:jc w:val="left"/>
        <w:rPr/>
      </w:pPr>
      <w:r>
        <w:rPr>
          <w:rFonts w:ascii="Times New Roman;sans-serif" w:hAnsi="Times New Roman;sans-serif"/>
          <w:b w:val="false"/>
          <w:color w:val="000000"/>
          <w:sz w:val="24"/>
        </w:rPr>
        <w:t xml:space="preserve">Signature: </w:t>
      </w:r>
      <w:r>
        <w:rPr>
          <w:color w:val="000000"/>
          <w:u w:val="single"/>
        </w:rPr>
        <w:t>                    </w:t>
      </w:r>
    </w:p>
    <w:p>
      <w:pPr>
        <w:pStyle w:val="TextBody"/>
        <w:bidi w:val="0"/>
        <w:spacing w:before="0" w:after="0"/>
        <w:ind w:left="0" w:right="0" w:firstLine="10"/>
        <w:jc w:val="left"/>
        <w:rPr/>
      </w:pPr>
      <w:r>
        <w:rPr/>
      </w:r>
    </w:p>
    <w:p>
      <w:pPr>
        <w:pStyle w:val="TextBody"/>
        <w:bidi w:val="0"/>
        <w:spacing w:lineRule="auto" w:line="333" w:before="0" w:after="0"/>
        <w:ind w:left="0" w:right="0" w:firstLine="10"/>
        <w:jc w:val="left"/>
        <w:rPr/>
      </w:pPr>
      <w:r>
        <w:rPr>
          <w:rFonts w:ascii="Times New Roman;sans-serif" w:hAnsi="Times New Roman;sans-serif"/>
          <w:b w:val="false"/>
          <w:color w:val="000000"/>
          <w:sz w:val="24"/>
        </w:rPr>
        <w:t xml:space="preserve">Print Name: </w:t>
      </w:r>
      <w:r>
        <w:rPr>
          <w:color w:val="000000"/>
          <w:u w:val="single"/>
        </w:rPr>
        <w:t>                    </w:t>
      </w:r>
    </w:p>
    <w:p>
      <w:pPr>
        <w:pStyle w:val="TextBody"/>
        <w:bidi w:val="0"/>
        <w:spacing w:lineRule="auto" w:line="333" w:before="0" w:after="0"/>
        <w:jc w:val="center"/>
        <w:rPr>
          <w:color w:val="000000"/>
          <w:u w:val="single"/>
        </w:rPr>
      </w:pPr>
      <w:r>
        <w:rPr>
          <w:color w:val="000000"/>
          <w:u w:val="single"/>
        </w:rPr>
        <w:t>                    </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Pre-clearance result: Approval / Disapproval / Other</w:t>
      </w:r>
    </w:p>
    <w:p>
      <w:pPr>
        <w:pStyle w:val="TextBody"/>
        <w:bidi w:val="0"/>
        <w:spacing w:lineRule="auto" w:line="333"/>
        <w:jc w:val="left"/>
        <w:rPr/>
      </w:pPr>
      <w:r>
        <w:rPr>
          <w:rFonts w:ascii="Times New Roman;sans-serif" w:hAnsi="Times New Roman;sans-serif"/>
          <w:b w:val="false"/>
          <w:color w:val="000000"/>
          <w:sz w:val="24"/>
        </w:rPr>
        <w:t xml:space="preserve">Signature of Compliance Officer: </w:t>
      </w:r>
      <w:r>
        <w:rPr>
          <w:color w:val="000000"/>
          <w:u w:val="single"/>
        </w:rPr>
        <w:t>                </w:t>
      </w: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Attachment A</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50520"/>
                <wp:effectExtent l="0" t="0" r="0" b="0"/>
                <wp:wrapNone/>
                <wp:docPr id="253" name="Frame2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Attachment A</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Attachment A</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r>
        <w:rPr>
          <w:rFonts w:ascii="Times New Roman;sans-serif" w:hAnsi="Times New Roman;sans-serif"/>
          <w:b w:val="false"/>
          <w:color w:val="000000"/>
          <w:sz w:val="24"/>
        </w:rPr>
        <w:t xml:space="preserve">Date: </w:t>
      </w:r>
      <w:r>
        <w:rPr>
          <w:color w:val="000000"/>
          <w:u w:val="single"/>
        </w:rPr>
        <w: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Attachment B</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50520"/>
                <wp:effectExtent l="0" t="0" r="0" b="0"/>
                <wp:wrapNone/>
                <wp:docPr id="254" name="Frame2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Attachment A</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Attachment A</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Certification of Compliance</w:t>
      </w:r>
    </w:p>
    <w:p>
      <w:pPr>
        <w:pStyle w:val="TextBody"/>
        <w:bidi w:val="0"/>
        <w:spacing w:lineRule="auto" w:line="240" w:before="0" w:after="240"/>
        <w:jc w:val="both"/>
        <w:rPr/>
      </w:pPr>
      <w:r>
        <w:rPr>
          <w:rFonts w:ascii="Times New Roman;sans-serif" w:hAnsi="Times New Roman;sans-serif"/>
          <w:b w:val="false"/>
          <w:color w:val="000000"/>
          <w:sz w:val="24"/>
        </w:rPr>
        <w:t>Return by [_________] [</w:t>
      </w:r>
      <w:r>
        <w:rPr>
          <w:rFonts w:ascii="Times New Roman;sans-serif" w:hAnsi="Times New Roman;sans-serif"/>
          <w:b w:val="false"/>
          <w:i/>
          <w:color w:val="000000"/>
          <w:sz w:val="24"/>
        </w:rPr>
        <w:t>insert return deadline</w:t>
      </w:r>
      <w:r>
        <w:rPr>
          <w:rFonts w:ascii="Times New Roman;sans-serif" w:hAnsi="Times New Roman;sans-serif"/>
          <w:b w:val="false"/>
          <w:color w:val="000000"/>
          <w:sz w:val="24"/>
        </w:rPr>
        <w:t>]</w:t>
      </w:r>
    </w:p>
    <w:p>
      <w:pPr>
        <w:pStyle w:val="TextBody"/>
        <w:bidi w:val="0"/>
        <w:spacing w:before="120" w:after="120"/>
        <w:ind w:left="0" w:right="0" w:hanging="720"/>
        <w:jc w:val="both"/>
        <w:rPr/>
      </w:pPr>
      <w:r>
        <w:rPr/>
      </w:r>
    </w:p>
    <w:p>
      <w:pPr>
        <w:pStyle w:val="TextBody"/>
        <w:bidi w:val="0"/>
        <w:spacing w:lineRule="auto" w:line="240" w:before="12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To:    Compliance Officer</w:t>
      </w:r>
    </w:p>
    <w:p>
      <w:pPr>
        <w:pStyle w:val="TextBody"/>
        <w:bidi w:val="0"/>
        <w:spacing w:lineRule="auto" w:line="240" w:before="12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From:    __________________________</w:t>
      </w:r>
    </w:p>
    <w:p>
      <w:pPr>
        <w:pStyle w:val="TextBody"/>
        <w:bidi w:val="0"/>
        <w:spacing w:lineRule="auto" w:line="240" w:before="12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Insider Trading Compliance Policy of GigaCloud Technology Inc</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have received, reviewed, and understand the above-referenced Insider Trading Compliance Policy and undertake, as a condition to my present and continued employment (or, if I am not an employee, affiliation) with GigaCloud Technology Inc and/or its subsidiaries or consolidated affiliated entities (collectively, the Company), to comply fully with the policies and procedures contained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 hereby certify that since my employment with the Company and after the date hereof during my continued employment with the Company, I have complied and will comply fully with all policies and procedures set forth in the above-referenced Insider Trading Compliance Policy. I hereby agreed that I will notify you and the Company as soon as possible </w:t>
      </w:r>
      <w:r>
        <w:rPr>
          <w:rFonts w:ascii="Times New Roman;sans-serif" w:hAnsi="Times New Roman;sans-serif"/>
          <w:b/>
          <w:color w:val="000000"/>
          <w:sz w:val="24"/>
        </w:rPr>
        <w:t>within one business day</w:t>
      </w:r>
      <w:r>
        <w:rPr>
          <w:color w:val="000000"/>
        </w:rPr>
        <w:t xml:space="preserve"> </w:t>
      </w:r>
      <w:r>
        <w:rPr>
          <w:rFonts w:ascii="Times New Roman;sans-serif" w:hAnsi="Times New Roman;sans-serif"/>
          <w:b w:val="false"/>
          <w:color w:val="000000"/>
          <w:sz w:val="24"/>
        </w:rPr>
        <w:t>of the occurrence if any change.</w:t>
      </w:r>
    </w:p>
    <w:p>
      <w:pPr>
        <w:pStyle w:val="TextBody"/>
        <w:bidi w:val="0"/>
        <w:spacing w:before="120" w:after="120"/>
        <w:ind w:left="0" w:right="0" w:firstLine="144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    __________________________</w:t>
        <w:br/>
        <w:t>Signature        Date</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w:t>
        <w:br/>
        <w:t>Name</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w:t>
        <w:br/>
        <w:t>Title</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0520"/>
                <wp:effectExtent l="0" t="0" r="0" b="0"/>
                <wp:wrapNone/>
                <wp:docPr id="255" name="Frame2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Attachment B</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Attachment B</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Principal Subsidiaries of the Registrant</w:t>
      </w:r>
    </w:p>
    <w:tbl>
      <w:tblPr>
        <w:tblW w:w="10205" w:type="dxa"/>
        <w:jc w:val="left"/>
        <w:tblInd w:w="0" w:type="dxa"/>
        <w:tblLayout w:type="fixed"/>
        <w:tblCellMar>
          <w:top w:w="28" w:type="dxa"/>
          <w:left w:w="28" w:type="dxa"/>
          <w:bottom w:w="28" w:type="dxa"/>
          <w:right w:w="28" w:type="dxa"/>
        </w:tblCellMar>
      </w:tblPr>
      <w:tblGrid>
        <w:gridCol w:w="2636"/>
        <w:gridCol w:w="2236"/>
        <w:gridCol w:w="2243"/>
        <w:gridCol w:w="109"/>
        <w:gridCol w:w="109"/>
        <w:gridCol w:w="109"/>
        <w:gridCol w:w="806"/>
        <w:gridCol w:w="806"/>
        <w:gridCol w:w="1151"/>
      </w:tblGrid>
      <w:tr>
        <w:trPr/>
        <w:tc>
          <w:tcPr>
            <w:tcW w:w="263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Principal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Place of Incorporation</w:t>
            </w:r>
          </w:p>
        </w:tc>
      </w:tr>
      <w:tr>
        <w:trPr/>
        <w:tc>
          <w:tcPr>
            <w:tcW w:w="7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Comptree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GigaCloud Technology (Suzhou) Co., Ltd. (formerly known as Oriental Standard Network Technology (Suzhou)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People’s Republic of China</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GigaCloud Supply Chain Management (Suzhou) Co., Ltd. (formerly known as Suzhou Dajianyun Transport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People’s Republic of China</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GigaCloud Technology (HongKong) Limited (formerly known as Giga Cloud Logistics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GigaCloud Technology (Japan) Co., Ltd (formerly known as Oriental Standard Japan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BTM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GIGACLOUD TECHNOLOGY (USA) INC. (formerly known as COMPTREE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USA</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Tmall,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USA</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GigaCloud Trading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GIGA CLOUD LOGISTICS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Nevada, USA</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APEXIS Inc. dba Wondersign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 USA</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Blitz Distribution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DECOBUS HANDEL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B.T.M TRAVEL AND TRADING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 the United Kingdom</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COMHARBOR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 the United Kingdom</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BRIHOME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 the United Kingdom</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6"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23.1</w: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consent to the incorporation by reference in the registration statement (Nos. 333- 267602 and 333-272969) on Form S-8 of our report dated March 27, 2024, with respect to the consolidated financial statements of GigaCloud Technology Inc.</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KPMG Huazhen LLP</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Shanghai, People’s Republic of China</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27, 2024</w:t>
      </w:r>
    </w:p>
    <w:p>
      <w:pPr>
        <w:pStyle w:val="TextBody"/>
        <w:bidi w:val="0"/>
        <w:spacing w:before="0" w:after="0"/>
        <w:jc w:val="left"/>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7"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br/>
        <w:t>Exhibit 23.2</w:t>
      </w:r>
    </w:p>
    <w:p>
      <w:pPr>
        <w:pStyle w:val="TextBody"/>
        <w:bidi w:val="0"/>
        <w:spacing w:before="0" w:after="0"/>
        <w:jc w:val="center"/>
        <w:rPr/>
      </w:pPr>
      <w:r>
        <w:rPr/>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ref     RDS/784775-000001/28791314v1</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GigaCloud Technology Inc</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 Box 309, Ugland House</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Grand Cayman, KY1-1104</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Cayman Islands</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27, 2024</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Dear Sir or Madam</w:t>
      </w:r>
    </w:p>
    <w:p>
      <w:pPr>
        <w:pStyle w:val="TextBody"/>
        <w:bidi w:val="0"/>
        <w:spacing w:lineRule="auto" w:line="240"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GigaCloud Technology Inc</w:t>
      </w:r>
    </w:p>
    <w:p>
      <w:pPr>
        <w:pStyle w:val="TextBody"/>
        <w:bidi w:val="0"/>
        <w:spacing w:lineRule="auto" w:line="240" w:before="240" w:after="283"/>
        <w:jc w:val="left"/>
        <w:rPr/>
      </w:pPr>
      <w:r>
        <w:rPr>
          <w:rFonts w:ascii="Times New Roman;sans-serif" w:hAnsi="Times New Roman;sans-serif"/>
          <w:b w:val="false"/>
          <w:color w:val="000000"/>
          <w:sz w:val="20"/>
          <w:shd w:fill="FFFFFF" w:val="clear"/>
        </w:rPr>
        <w:t>We have acted as legal advisers as to the laws of the Cayman Islands to GigaCloud Technology Inc, an exempted company with limited liability incorporated in the Cayman Islands (the “</w:t>
      </w:r>
      <w:r>
        <w:rPr>
          <w:rFonts w:ascii="Times New Roman;sans-serif" w:hAnsi="Times New Roman;sans-serif"/>
          <w:b/>
          <w:color w:val="000000"/>
          <w:sz w:val="20"/>
          <w:shd w:fill="FFFFFF" w:val="clear"/>
        </w:rPr>
        <w:t>Company</w:t>
      </w:r>
      <w:r>
        <w:rPr>
          <w:color w:val="000000"/>
          <w:shd w:fill="FFFFFF" w:val="clear"/>
        </w:rPr>
        <w:t>”</w:t>
      </w:r>
      <w:r>
        <w:rPr>
          <w:rFonts w:ascii="Times New Roman;sans-serif" w:hAnsi="Times New Roman;sans-serif"/>
          <w:b w:val="false"/>
          <w:color w:val="000000"/>
          <w:sz w:val="20"/>
          <w:shd w:fill="FFFFFF" w:val="clear"/>
        </w:rPr>
        <w:t>), in connection with the filing by the Company with the United States Securities and Exchange Commission (the “</w:t>
      </w:r>
      <w:r>
        <w:rPr>
          <w:rFonts w:ascii="Times New Roman;sans-serif" w:hAnsi="Times New Roman;sans-serif"/>
          <w:b/>
          <w:color w:val="000000"/>
          <w:sz w:val="20"/>
          <w:shd w:fill="FFFFFF" w:val="clear"/>
        </w:rPr>
        <w:t>SEC</w:t>
      </w:r>
      <w:r>
        <w:rPr>
          <w:color w:val="000000"/>
          <w:shd w:fill="FFFFFF" w:val="clear"/>
        </w:rPr>
        <w:t>”</w:t>
      </w:r>
      <w:r>
        <w:rPr>
          <w:rFonts w:ascii="Times New Roman;sans-serif" w:hAnsi="Times New Roman;sans-serif"/>
          <w:b w:val="false"/>
          <w:color w:val="000000"/>
          <w:sz w:val="20"/>
          <w:shd w:fill="FFFFFF" w:val="clear"/>
        </w:rPr>
        <w:t>) of an annual report on Form 10-K for the year ended 31 December 2023 (the “</w:t>
      </w:r>
      <w:r>
        <w:rPr>
          <w:rFonts w:ascii="Times New Roman;sans-serif" w:hAnsi="Times New Roman;sans-serif"/>
          <w:b/>
          <w:color w:val="000000"/>
          <w:sz w:val="20"/>
          <w:shd w:fill="FFFFFF" w:val="clear"/>
        </w:rPr>
        <w:t>Annual Report</w:t>
      </w:r>
      <w:r>
        <w:rPr>
          <w:color w:val="000000"/>
          <w:shd w:fill="FFFFFF" w:val="clear"/>
        </w:rPr>
        <w:t>”</w:t>
      </w:r>
      <w:r>
        <w:rPr>
          <w:rFonts w:ascii="Times New Roman;sans-serif" w:hAnsi="Times New Roman;sans-serif"/>
          <w:b w:val="false"/>
          <w:color w:val="000000"/>
          <w:sz w:val="20"/>
          <w:shd w:fill="FFFFFF" w:val="clear"/>
        </w:rPr>
        <w:t>).</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hereby consent to the reference to our firm under the heading “Item 5. Taxation—Cayman Islands Taxation” in the Annual Report, and we further consent to the incorporation by reference of the summary of our opinions under these headings into the Company’s registration statement on Form S-8 (File Nos. 333- 267602 and 333-272969 that was filed on 26 September 2022 and 28 June 2023, pertaining to the Company’s 2008 Share Incentive Plan and 2017 Share Incentive Plan.</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Yours faithfully</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Maples and Calder (Hong Kong) LLP</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Maples and Calder (Hong Kong) LLP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8"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23.3</w:t>
      </w:r>
    </w:p>
    <w:p>
      <w:pPr>
        <w:pStyle w:val="TextBody"/>
        <w:bidi w:val="0"/>
        <w:spacing w:before="0" w:after="0"/>
        <w:jc w:val="center"/>
        <w:rPr/>
      </w:pPr>
      <w:r>
        <w:rPr/>
      </w:r>
    </w:p>
    <w:p>
      <w:pPr>
        <w:pStyle w:val="TextBody"/>
        <w:bidi w:val="0"/>
        <w:spacing w:before="0" w:after="0"/>
        <w:jc w:val="center"/>
        <w:rPr/>
      </w:pPr>
      <w:r>
        <w:rPr/>
      </w:r>
    </w:p>
    <w:tbl>
      <w:tblPr>
        <w:tblW w:w="8134" w:type="dxa"/>
        <w:jc w:val="left"/>
        <w:tblInd w:w="0" w:type="dxa"/>
        <w:tblLayout w:type="fixed"/>
        <w:tblCellMar>
          <w:top w:w="28" w:type="dxa"/>
          <w:left w:w="28" w:type="dxa"/>
          <w:bottom w:w="28" w:type="dxa"/>
          <w:right w:w="28" w:type="dxa"/>
        </w:tblCellMar>
      </w:tblPr>
      <w:tblGrid>
        <w:gridCol w:w="2217"/>
        <w:gridCol w:w="1949"/>
        <w:gridCol w:w="1950"/>
        <w:gridCol w:w="109"/>
        <w:gridCol w:w="109"/>
        <w:gridCol w:w="109"/>
        <w:gridCol w:w="495"/>
        <w:gridCol w:w="495"/>
        <w:gridCol w:w="701"/>
      </w:tblGrid>
      <w:tr>
        <w:trPr/>
        <w:tc>
          <w:tcPr>
            <w:tcW w:w="221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drawing>
                <wp:inline distT="0" distB="0" distL="0" distR="0">
                  <wp:extent cx="3819525" cy="685800"/>
                  <wp:effectExtent l="0" t="0" r="0" b="0"/>
                  <wp:docPr id="2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0" descr=""/>
                          <pic:cNvPicPr>
                            <a:picLocks noChangeAspect="1" noChangeArrowheads="1"/>
                          </pic:cNvPicPr>
                        </pic:nvPicPr>
                        <pic:blipFill>
                          <a:blip r:embed="rId21"/>
                          <a:stretch>
                            <a:fillRect/>
                          </a:stretch>
                        </pic:blipFill>
                        <pic:spPr bwMode="auto">
                          <a:xfrm>
                            <a:off x="0" y="0"/>
                            <a:ext cx="3819525" cy="68580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90600" cy="438150"/>
                  <wp:effectExtent l="0" t="0" r="0" b="0"/>
                  <wp:docPr id="2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 descr=""/>
                          <pic:cNvPicPr>
                            <a:picLocks noChangeAspect="1" noChangeArrowheads="1"/>
                          </pic:cNvPicPr>
                        </pic:nvPicPr>
                        <pic:blipFill>
                          <a:blip r:embed="rId22"/>
                          <a:stretch>
                            <a:fillRect/>
                          </a:stretch>
                        </pic:blipFill>
                        <pic:spPr bwMode="auto">
                          <a:xfrm>
                            <a:off x="0" y="0"/>
                            <a:ext cx="990600" cy="438150"/>
                          </a:xfrm>
                          <a:prstGeom prst="rect">
                            <a:avLst/>
                          </a:prstGeom>
                        </pic:spPr>
                      </pic:pic>
                    </a:graphicData>
                  </a:graphic>
                </wp:inline>
              </w:drawing>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March 27, 2024</w:t>
      </w:r>
    </w:p>
    <w:p>
      <w:pPr>
        <w:pStyle w:val="TextBody"/>
        <w:bidi w:val="0"/>
        <w:spacing w:lineRule="auto" w:line="240"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GIGACLOUD TECHNOLOGY INC</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4388 Shirley Avenue</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El Monte CA 91731</w: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Dear Sir/Madam:</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hereby consent to the reference of our firm in GigaCloud Technology Inc’s annual report on Form 10-K for the fiscal year ended December 31, 2023, which will be filed by GigaCloud Technology Inc in March 2024 with the Securities and Exchange Commission pursuant to Section 13(a) or 15(d) of the Securities Exchange Act of 1934, and further consent to the incorporation by reference of the summaries of our opinions that appear in the annual report on Form 10-K into the Registration Statements (File Nos. 333- 267602 and 333-272969) on Form S-8.</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lineRule="auto" w:line="240" w:before="0" w:after="0"/>
        <w:jc w:val="left"/>
        <w:rPr>
          <w:color w:val="000000"/>
          <w:shd w:fill="FFFFFF" w:val="clear"/>
        </w:rPr>
      </w:pPr>
      <w:r>
        <w:rPr>
          <w:color w:val="000000"/>
          <w:shd w:fill="FFFFFF" w:val="clear"/>
        </w:rPr>
        <w:t> </w:t>
      </w:r>
    </w:p>
    <w:tbl>
      <w:tblPr>
        <w:tblW w:w="2549" w:type="dxa"/>
        <w:jc w:val="left"/>
        <w:tblInd w:w="0" w:type="dxa"/>
        <w:tblLayout w:type="fixed"/>
        <w:tblCellMar>
          <w:top w:w="28" w:type="dxa"/>
          <w:left w:w="28" w:type="dxa"/>
          <w:bottom w:w="28" w:type="dxa"/>
          <w:right w:w="28" w:type="dxa"/>
        </w:tblCellMar>
      </w:tblPr>
      <w:tblGrid>
        <w:gridCol w:w="816"/>
        <w:gridCol w:w="717"/>
        <w:gridCol w:w="1016"/>
      </w:tblGrid>
      <w:tr>
        <w:trPr/>
        <w:tc>
          <w:tcPr>
            <w:tcW w:w="8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Yours Sincerely,</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HAN KUN LAW OFFICES</w:t>
            </w:r>
          </w:p>
        </w:tc>
      </w:tr>
      <w:tr>
        <w:trPr/>
        <w:tc>
          <w:tcPr>
            <w:tcW w:w="254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 KUN LAW OFFICES</w:t>
            </w:r>
          </w:p>
        </w:tc>
      </w:tr>
    </w:tbl>
    <w:p>
      <w:pPr>
        <w:pStyle w:val="TextBody"/>
        <w:bidi w:val="0"/>
        <w:spacing w:before="0" w:after="0"/>
        <w:jc w:val="left"/>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Principal Executive Officer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Larry Lei Wu, certify that: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GigaCloud Technology Inc;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Date:March 27, 2024</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Larry Lei Wu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Larry Lei Wu</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pStyle w:val="TextBody"/>
        <w:bidi w:val="0"/>
        <w:spacing w:lineRule="auto" w:line="24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Principal Financial Officer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Kwok Hei David Lau, certify that: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GigaCloud Technology Inc;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27, 2024</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Kwok Hei David Lau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Kwok Hei David Lau</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Executive Officer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GigaCloud Technology Inc (the “Company”) on Form 10-K for the year ended December 31, 2023 as filed with the Securities and Exchange Commission on the date hereof (the “Report”), I, Larry Lei Wu, Chief Executive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27,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Larry Lei Wu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Larry Lei Wu</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pStyle w:val="TextBody"/>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Principal Financial Officer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GigaCloud Technology Inc (the “Company”) on Form 10-K for the year ended December 31, 2023 as filed with the Securities and Exchange Commission on the date hereof (the “Report”), I, Kwok Hei David Lau, Chief Financial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27,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Kwok Hei David Lau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Kwok Hei David Lau</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right"/>
        <w:rPr>
          <w:rFonts w:ascii="Times New Roman;sans-serif" w:hAnsi="Times New Roman;sans-serif"/>
          <w:b/>
          <w:color w:val="000000"/>
          <w:sz w:val="20"/>
        </w:rPr>
      </w:pPr>
      <w:r>
        <w:rPr>
          <w:rFonts w:ascii="Times New Roman;sans-serif" w:hAnsi="Times New Roman;sans-serif"/>
          <w:b/>
          <w:color w:val="000000"/>
          <w:sz w:val="20"/>
        </w:rPr>
        <w:t>Exhibit 97.1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GIGACLOUD TECHNOLOGY INC </w:t>
        <w:br/>
        <w:t>POLICY FOR RECOVERY OF ERRONEOUSLY AWARDED COMPENSATION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GigaCloud Technology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Capitalized terms used in this Policy but not otherwise defined herein are defined in Section 11. </w:t>
      </w:r>
    </w:p>
    <w:p>
      <w:pPr>
        <w:pStyle w:val="TextBody"/>
        <w:bidi w:val="0"/>
        <w:spacing w:lineRule="auto" w:line="240" w:before="0" w:after="240"/>
        <w:ind w:left="0" w:right="0" w:hanging="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Persons Subject to Policy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lineRule="auto" w:line="240" w:before="0" w:after="240"/>
        <w:ind w:left="0" w:right="0" w:hanging="720"/>
        <w:jc w:val="left"/>
        <w:rPr/>
      </w:pPr>
      <w:r>
        <w:rPr>
          <w:rFonts w:ascii="Times New Roman;sans-serif" w:hAnsi="Times New Roman;sans-serif"/>
          <w:b/>
          <w:color w:val="000000"/>
          <w:sz w:val="24"/>
        </w:rPr>
        <w:t>2.</w:t>
      </w:r>
      <w:r>
        <w:rPr>
          <w:rFonts w:ascii="Times New Roman;sans-serif" w:hAnsi="Times New Roman;sans-serif"/>
          <w:b/>
          <w:color w:val="000000"/>
          <w:sz w:val="24"/>
          <w:u w:val="single"/>
        </w:rPr>
        <w:t>Compensation Subject to Policy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240" w:before="0" w:after="240"/>
        <w:ind w:left="0" w:right="0" w:hanging="720"/>
        <w:jc w:val="left"/>
        <w:rPr/>
      </w:pPr>
      <w:r>
        <w:rPr>
          <w:rFonts w:ascii="Times New Roman;sans-serif" w:hAnsi="Times New Roman;sans-serif"/>
          <w:b/>
          <w:color w:val="000000"/>
          <w:sz w:val="24"/>
        </w:rPr>
        <w:t>3.</w:t>
      </w:r>
      <w:r>
        <w:rPr>
          <w:rFonts w:ascii="Times New Roman;sans-serif" w:hAnsi="Times New Roman;sans-serif"/>
          <w:b/>
          <w:color w:val="000000"/>
          <w:sz w:val="24"/>
          <w:u w:val="single"/>
        </w:rPr>
        <w:t>Recovery of Compensation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40" w:before="0" w:after="240"/>
        <w:ind w:left="0" w:right="0" w:hanging="720"/>
        <w:jc w:val="left"/>
        <w:rPr/>
      </w:pPr>
      <w:r>
        <w:rPr>
          <w:rFonts w:ascii="Times New Roman;sans-serif" w:hAnsi="Times New Roman;sans-serif"/>
          <w:b/>
          <w:color w:val="000000"/>
          <w:sz w:val="24"/>
        </w:rPr>
        <w:t>4.</w:t>
      </w:r>
      <w:r>
        <w:rPr>
          <w:rFonts w:ascii="Times New Roman;sans-serif" w:hAnsi="Times New Roman;sans-serif"/>
          <w:b/>
          <w:color w:val="000000"/>
          <w:sz w:val="24"/>
          <w:u w:val="single"/>
        </w:rPr>
        <w:t>Manner of Recovery; Limitation on Duplicative Recovery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60655"/>
                <wp:effectExtent l="0" t="0" r="0" b="0"/>
                <wp:wrapNone/>
                <wp:docPr id="266" name="Frame2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Erroneously Awarded Compensation may be credited to the amount of Erroneously Awarded Compensation required to be recovered pursuant to this Policy from such person.</w:t>
      </w:r>
    </w:p>
    <w:p>
      <w:pPr>
        <w:pStyle w:val="TextBody"/>
        <w:bidi w:val="0"/>
        <w:spacing w:lineRule="auto" w:line="240" w:before="0" w:after="240"/>
        <w:ind w:left="0" w:right="0" w:hanging="720"/>
        <w:jc w:val="left"/>
        <w:rPr/>
      </w:pPr>
      <w:r>
        <w:rPr>
          <w:rFonts w:ascii="Times New Roman;sans-serif" w:hAnsi="Times New Roman;sans-serif"/>
          <w:b/>
          <w:color w:val="000000"/>
          <w:sz w:val="24"/>
        </w:rPr>
        <w:t>5.</w:t>
      </w:r>
      <w:r>
        <w:rPr>
          <w:rFonts w:ascii="Times New Roman;sans-serif" w:hAnsi="Times New Roman;sans-serif"/>
          <w:b/>
          <w:color w:val="000000"/>
          <w:sz w:val="24"/>
          <w:u w:val="single"/>
        </w:rPr>
        <w:t xml:space="preserve">Administration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lineRule="auto" w:line="240" w:before="0" w:after="240"/>
        <w:ind w:left="0" w:right="0" w:hanging="720"/>
        <w:jc w:val="left"/>
        <w:rPr/>
      </w:pPr>
      <w:r>
        <w:rPr>
          <w:rFonts w:ascii="Times New Roman;sans-serif" w:hAnsi="Times New Roman;sans-serif"/>
          <w:b/>
          <w:color w:val="000000"/>
          <w:sz w:val="24"/>
        </w:rPr>
        <w:t>6.</w:t>
      </w:r>
      <w:r>
        <w:rPr>
          <w:rFonts w:ascii="Times New Roman;sans-serif" w:hAnsi="Times New Roman;sans-serif"/>
          <w:b/>
          <w:color w:val="000000"/>
          <w:sz w:val="24"/>
          <w:u w:val="single"/>
        </w:rPr>
        <w:t>Interpretation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w:t>
      </w:r>
    </w:p>
    <w:p>
      <w:pPr>
        <w:pStyle w:val="TextBody"/>
        <w:bidi w:val="0"/>
        <w:spacing w:lineRule="auto" w:line="240" w:before="0" w:after="240"/>
        <w:ind w:left="0" w:right="0" w:hanging="720"/>
        <w:jc w:val="left"/>
        <w:rPr/>
      </w:pPr>
      <w:r>
        <w:rPr>
          <w:rFonts w:ascii="Times New Roman;sans-serif" w:hAnsi="Times New Roman;sans-serif"/>
          <w:b/>
          <w:color w:val="000000"/>
          <w:sz w:val="24"/>
        </w:rPr>
        <w:t>7.</w:t>
      </w:r>
      <w:r>
        <w:rPr>
          <w:rFonts w:ascii="Times New Roman;sans-serif" w:hAnsi="Times New Roman;sans-serif"/>
          <w:b/>
          <w:color w:val="000000"/>
          <w:sz w:val="24"/>
          <w:u w:val="single"/>
        </w:rPr>
        <w:t>No Indemnification; No Liability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240" w:before="0" w:after="240"/>
        <w:ind w:left="0" w:right="0" w:hanging="720"/>
        <w:jc w:val="left"/>
        <w:rPr/>
      </w:pPr>
      <w:r>
        <w:rPr>
          <w:rFonts w:ascii="Times New Roman;sans-serif" w:hAnsi="Times New Roman;sans-serif"/>
          <w:b/>
          <w:color w:val="000000"/>
          <w:sz w:val="24"/>
        </w:rPr>
        <w:t>8.</w:t>
      </w:r>
      <w:r>
        <w:rPr>
          <w:rFonts w:ascii="Times New Roman;sans-serif" w:hAnsi="Times New Roman;sans-serif"/>
          <w:b/>
          <w:color w:val="000000"/>
          <w:sz w:val="24"/>
          <w:u w:val="single"/>
        </w:rPr>
        <w:t>Application; Enforceability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9.</w:t>
      </w:r>
      <w:r>
        <w:rPr>
          <w:rFonts w:ascii="Times New Roman;sans-serif" w:hAnsi="Times New Roman;sans-serif"/>
          <w:b/>
          <w:color w:val="000000"/>
          <w:sz w:val="24"/>
          <w:u w:val="single"/>
        </w:rPr>
        <w:t>Severability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477520"/>
                <wp:effectExtent l="0" t="0" r="0" b="0"/>
                <wp:wrapNone/>
                <wp:docPr id="267" name="Frame256"/>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10.</w:t>
      </w:r>
      <w:r>
        <w:rPr>
          <w:rFonts w:ascii="Times New Roman;sans-serif" w:hAnsi="Times New Roman;sans-serif"/>
          <w:b/>
          <w:color w:val="000000"/>
          <w:sz w:val="24"/>
          <w:u w:val="single"/>
        </w:rPr>
        <w:t>Amendment and Termination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lineRule="auto" w:line="240" w:before="0" w:after="240"/>
        <w:ind w:left="0" w:right="0" w:hanging="720"/>
        <w:jc w:val="left"/>
        <w:rPr/>
      </w:pPr>
      <w:r>
        <w:rPr>
          <w:rFonts w:ascii="Times New Roman;sans-serif" w:hAnsi="Times New Roman;sans-serif"/>
          <w:b/>
          <w:color w:val="000000"/>
          <w:sz w:val="24"/>
        </w:rPr>
        <w:t>11.</w:t>
      </w:r>
      <w:r>
        <w:rPr>
          <w:rFonts w:ascii="Times New Roman;sans-serif" w:hAnsi="Times New Roman;sans-serif"/>
          <w:b/>
          <w:color w:val="000000"/>
          <w:sz w:val="24"/>
          <w:u w:val="single"/>
        </w:rPr>
        <w:t>Definitions</w:t>
      </w:r>
    </w:p>
    <w:p>
      <w:pPr>
        <w:pStyle w:val="TextBody"/>
        <w:bidi w:val="0"/>
        <w:spacing w:lineRule="auto" w:line="300" w:before="0" w:after="160"/>
        <w:jc w:val="both"/>
        <w:rPr/>
      </w:pPr>
      <w:r>
        <w:rPr>
          <w:color w:val="000000"/>
        </w:rPr>
        <w:t>    “</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 xml:space="preserve">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 xml:space="preserve">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international financial reporting standards as adopted by the International Accounting Standards Board.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477520"/>
                <wp:effectExtent l="0" t="0" r="0" b="0"/>
                <wp:wrapNone/>
                <wp:docPr id="268" name="Frame257"/>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10D-1(d) under the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477520"/>
                <wp:effectExtent l="0" t="0" r="0" b="0"/>
                <wp:wrapNone/>
                <wp:docPr id="269" name="Frame25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center"/>
        <w:rPr/>
      </w:pPr>
      <w:r>
        <w:rPr>
          <w:rFonts w:ascii="Times New Roman;sans-serif" w:hAnsi="Times New Roman;sans-serif"/>
          <w:b/>
          <w:color w:val="000000"/>
          <w:sz w:val="24"/>
        </w:rPr>
        <w:t>FORM OF</w:t>
      </w:r>
      <w:r>
        <w:rPr>
          <w:color w:val="000000"/>
        </w:rPr>
        <w:t xml:space="preserve"> </w:t>
      </w:r>
      <w:r>
        <w:rPr>
          <w:rFonts w:ascii="Times New Roman;sans-serif" w:hAnsi="Times New Roman;sans-serif"/>
          <w:b/>
          <w:color w:val="000000"/>
          <w:sz w:val="24"/>
        </w:rPr>
        <w:t xml:space="preserve">ACKNOWLEDGMENT AND CONSENT TO </w:t>
        <w:br/>
        <w:t>POLICY FOR RECOVERY OF ERRONEOUSLY AWARDED COMPENSATION</w:t>
      </w:r>
    </w:p>
    <w:p>
      <w:pPr>
        <w:pStyle w:val="TextBody"/>
        <w:bidi w:val="0"/>
        <w:spacing w:lineRule="auto" w:line="300"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received a copy of the Policy for Recovery of Erroneously Awarded Compensation (the “Policy”) adopted by GigaCloud Technology Inc (the “Company”).</w:t>
      </w:r>
    </w:p>
    <w:p>
      <w:pPr>
        <w:pStyle w:val="TextBody"/>
        <w:bidi w:val="0"/>
        <w:spacing w:lineRule="auto" w:line="300"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tbl>
      <w:tblPr>
        <w:tblW w:w="7350" w:type="dxa"/>
        <w:jc w:val="left"/>
        <w:tblInd w:w="0" w:type="dxa"/>
        <w:tblLayout w:type="fixed"/>
        <w:tblCellMar>
          <w:top w:w="28" w:type="dxa"/>
          <w:left w:w="28" w:type="dxa"/>
          <w:bottom w:w="28" w:type="dxa"/>
          <w:right w:w="28" w:type="dxa"/>
        </w:tblCellMar>
      </w:tblPr>
      <w:tblGrid>
        <w:gridCol w:w="870"/>
        <w:gridCol w:w="761"/>
        <w:gridCol w:w="769"/>
        <w:gridCol w:w="1446"/>
        <w:gridCol w:w="1446"/>
        <w:gridCol w:w="2058"/>
      </w:tblGrid>
      <w:tr>
        <w:trPr/>
        <w:tc>
          <w:tcPr>
            <w:tcW w:w="87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240"/>
        <w:jc w:val="center"/>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452120"/>
                <wp:effectExtent l="0" t="0" r="0" b="0"/>
                <wp:wrapNone/>
                <wp:docPr id="270" name="Frame25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ambria Math">
    <w:altName w:val="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www.sec.gov/Archives/edgar/data/1857816/000119312522200154/d160437dex32.htm" TargetMode="External"/><Relationship Id="rId12" Type="http://schemas.openxmlformats.org/officeDocument/2006/relationships/hyperlink" Target="http://www.sec.gov/Archives/edgar/data/1857816/000119312522200154/d160437dex41.htm" TargetMode="External"/><Relationship Id="rId13" Type="http://schemas.openxmlformats.org/officeDocument/2006/relationships/hyperlink" Target="http://www.sec.gov/Archives/edgar/data/1857816/000119312522190279/d160437dex101.htm" TargetMode="External"/><Relationship Id="rId14" Type="http://schemas.openxmlformats.org/officeDocument/2006/relationships/hyperlink" Target="http://www.sec.gov/Archives/edgar/data/1857816/000119312522190279/d160437dex102.htm" TargetMode="External"/><Relationship Id="rId15" Type="http://schemas.openxmlformats.org/officeDocument/2006/relationships/hyperlink" Target="http://www.sec.gov/Archives/edgar/data/1857816/000119312522190279/d160437dex104.htm" TargetMode="External"/><Relationship Id="rId16" Type="http://schemas.openxmlformats.org/officeDocument/2006/relationships/hyperlink" Target="http://www.sec.gov/Archives/edgar/data/1857816/000119312522190279/d160437dex105.htm" TargetMode="External"/><Relationship Id="rId17" Type="http://schemas.openxmlformats.org/officeDocument/2006/relationships/hyperlink" Target="http://www.sec.gov/Archives/edgar/data/1857816/000119312522190279/d160437dex42.htm" TargetMode="External"/><Relationship Id="rId18" Type="http://schemas.openxmlformats.org/officeDocument/2006/relationships/hyperlink" Target="http://www.sec.gov/Archives/edgar/data/1857816/000119312522190279/d160437dex43.htm" TargetMode="External"/><Relationship Id="rId19" Type="http://schemas.openxmlformats.org/officeDocument/2006/relationships/hyperlink" Target="http://www.sec.gov/Archives/edgar/data/1857816/000119312522190279/d160437dex44.htm" TargetMode="External"/><Relationship Id="rId20" Type="http://schemas.openxmlformats.org/officeDocument/2006/relationships/hyperlink" Target="http://www.sec.gov/Archives/edgar/data/1857816/000119312522200154/d160437dex45.htm" TargetMode="External"/><Relationship Id="rId21"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145703</Words>
  <Characters>797243</Characters>
  <CharactersWithSpaces>939742</CharactersWithSpaces>
  <Paragraphs>6997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