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160"/>
        <w:jc w:val="left"/>
        <w:rPr/>
      </w:pPr>
      <w:r>
        <w:rPr/>
      </w:r>
    </w:p>
    <w:p>
      <w:pPr>
        <w:pStyle w:val="TextBody"/>
        <w:bidi w:val="0"/>
        <w:spacing w:lineRule="auto" w:line="362" w:before="240" w:after="283"/>
        <w:jc w:val="center"/>
        <w:rPr>
          <w:rFonts w:ascii="Lato;sans-serif" w:hAnsi="Lato;sans-serif"/>
          <w:b/>
          <w:color w:val="000000"/>
          <w:sz w:val="36"/>
        </w:rPr>
      </w:pPr>
      <w:r>
        <w:rPr>
          <w:rFonts w:ascii="Lato;sans-serif" w:hAnsi="Lato;sans-serif"/>
          <w:b/>
          <w:color w:val="000000"/>
          <w:sz w:val="36"/>
        </w:rPr>
        <w:t>UNITED STATES</w:t>
      </w:r>
    </w:p>
    <w:p>
      <w:pPr>
        <w:pStyle w:val="TextBody"/>
        <w:bidi w:val="0"/>
        <w:spacing w:lineRule="auto" w:line="362" w:before="0" w:after="0"/>
        <w:jc w:val="center"/>
        <w:rPr>
          <w:rFonts w:ascii="Lato;sans-serif" w:hAnsi="Lato;sans-serif"/>
          <w:b/>
          <w:color w:val="000000"/>
          <w:sz w:val="36"/>
        </w:rPr>
      </w:pPr>
      <w:r>
        <w:rPr>
          <w:rFonts w:ascii="Lato;sans-serif" w:hAnsi="Lato;sans-serif"/>
          <w:b/>
          <w:color w:val="000000"/>
          <w:sz w:val="36"/>
        </w:rPr>
        <w:t>SECURITIES AND EXCHANGE COMMISSION</w:t>
      </w:r>
    </w:p>
    <w:p>
      <w:pPr>
        <w:pStyle w:val="TextBody"/>
        <w:bidi w:val="0"/>
        <w:spacing w:lineRule="auto" w:line="362" w:before="0" w:after="0"/>
        <w:jc w:val="center"/>
        <w:rPr>
          <w:rFonts w:ascii="Lato;sans-serif" w:hAnsi="Lato;sans-serif"/>
          <w:b/>
          <w:color w:val="000000"/>
          <w:sz w:val="24"/>
        </w:rPr>
      </w:pPr>
      <w:r>
        <w:rPr>
          <w:rFonts w:ascii="Lato;sans-serif" w:hAnsi="Lato;sans-serif"/>
          <w:b/>
          <w:color w:val="000000"/>
          <w:sz w:val="24"/>
        </w:rPr>
        <w:t>WASHINGTON, D.C. 20549</w:t>
      </w:r>
    </w:p>
    <w:p>
      <w:pPr>
        <w:pStyle w:val="TextBody"/>
        <w:bidi w:val="0"/>
        <w:spacing w:lineRule="auto" w:line="362" w:before="0" w:after="0"/>
        <w:jc w:val="center"/>
        <w:rPr>
          <w:rFonts w:ascii="Lato;sans-serif" w:hAnsi="Lato;sans-serif"/>
          <w:b w:val="false"/>
          <w:color w:val="000000"/>
          <w:sz w:val="20"/>
        </w:rPr>
      </w:pPr>
      <w:r>
        <w:rPr>
          <w:rFonts w:ascii="Lato;sans-serif" w:hAnsi="Lato;sans-serif"/>
          <w:b w:val="false"/>
          <w:color w:val="000000"/>
          <w:sz w:val="20"/>
        </w:rPr>
        <w:t>___________________________________</w:t>
      </w:r>
    </w:p>
    <w:p>
      <w:pPr>
        <w:pStyle w:val="TextBody"/>
        <w:bidi w:val="0"/>
        <w:spacing w:lineRule="auto" w:line="362" w:before="0" w:after="0"/>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362" w:before="0" w:after="0"/>
        <w:jc w:val="center"/>
        <w:rPr>
          <w:rFonts w:ascii="Lato;sans-serif" w:hAnsi="Lato;sans-serif"/>
          <w:b/>
          <w:color w:val="000000"/>
          <w:sz w:val="24"/>
        </w:rPr>
      </w:pPr>
      <w:r>
        <w:rPr>
          <w:rFonts w:ascii="Lato;sans-serif" w:hAnsi="Lato;sans-serif"/>
          <w:b/>
          <w:color w:val="000000"/>
          <w:sz w:val="24"/>
        </w:rPr>
        <w:t>Proxy Statement Pursuant to Section 14(a) of</w:t>
      </w:r>
    </w:p>
    <w:p>
      <w:pPr>
        <w:pStyle w:val="TextBody"/>
        <w:bidi w:val="0"/>
        <w:spacing w:lineRule="auto" w:line="362" w:before="0" w:after="0"/>
        <w:jc w:val="center"/>
        <w:rPr>
          <w:rFonts w:ascii="Lato;sans-serif" w:hAnsi="Lato;sans-serif"/>
          <w:b/>
          <w:color w:val="000000"/>
          <w:sz w:val="24"/>
        </w:rPr>
      </w:pPr>
      <w:r>
        <w:rPr>
          <w:rFonts w:ascii="Lato;sans-serif" w:hAnsi="Lato;sans-serif"/>
          <w:b/>
          <w:color w:val="000000"/>
          <w:sz w:val="24"/>
        </w:rPr>
        <w:t>the Securities Exchange Act of 1934</w:t>
      </w:r>
    </w:p>
    <w:p>
      <w:pPr>
        <w:pStyle w:val="TextBody"/>
        <w:bidi w:val="0"/>
        <w:spacing w:lineRule="auto" w:line="362" w:before="0" w:after="0"/>
        <w:jc w:val="center"/>
        <w:rPr>
          <w:rFonts w:ascii="Lato;sans-serif" w:hAnsi="Lato;sans-serif"/>
          <w:b w:val="false"/>
          <w:color w:val="000000"/>
          <w:sz w:val="20"/>
        </w:rPr>
      </w:pPr>
      <w:r>
        <w:rPr>
          <w:rFonts w:ascii="Lato;sans-serif" w:hAnsi="Lato;sans-serif"/>
          <w:b w:val="false"/>
          <w:color w:val="000000"/>
          <w:sz w:val="20"/>
        </w:rPr>
        <w:t>___________________________________</w:t>
      </w:r>
    </w:p>
    <w:p>
      <w:pPr>
        <w:pStyle w:val="TextBody"/>
        <w:bidi w:val="0"/>
        <w:spacing w:lineRule="auto" w:line="362" w:before="0" w:after="0"/>
        <w:jc w:val="left"/>
        <w:rPr/>
      </w:pPr>
      <w:r>
        <w:rPr>
          <w:rFonts w:ascii="Lato;sans-serif" w:hAnsi="Lato;sans-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362" w:before="0" w:after="0"/>
        <w:jc w:val="left"/>
        <w:rPr/>
      </w:pPr>
      <w:r>
        <w:rPr>
          <w:rFonts w:ascii="Lato;sans-serif" w:hAnsi="Lato;sans-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362" w:before="0" w:after="160"/>
        <w:jc w:val="left"/>
        <w:rPr>
          <w:rFonts w:ascii="Lato;sans-serif" w:hAnsi="Lato;sans-serif"/>
          <w:b w:val="false"/>
          <w:color w:val="000000"/>
          <w:sz w:val="20"/>
        </w:rPr>
      </w:pPr>
      <w:r>
        <w:rPr>
          <w:rFonts w:ascii="Lato;sans-serif" w:hAnsi="Lato;sans-serif"/>
          <w:b w:val="false"/>
          <w:color w:val="000000"/>
          <w:sz w:val="20"/>
        </w:rPr>
        <w:t>Check the appropriate box:</w:t>
      </w:r>
    </w:p>
    <w:tbl>
      <w:tblPr>
        <w:tblW w:w="9341" w:type="dxa"/>
        <w:jc w:val="left"/>
        <w:tblInd w:w="0" w:type="dxa"/>
        <w:tblLayout w:type="fixed"/>
        <w:tblCellMar>
          <w:top w:w="28" w:type="dxa"/>
          <w:left w:w="28" w:type="dxa"/>
          <w:bottom w:w="28" w:type="dxa"/>
          <w:right w:w="28" w:type="dxa"/>
        </w:tblCellMar>
      </w:tblPr>
      <w:tblGrid>
        <w:gridCol w:w="124"/>
        <w:gridCol w:w="109"/>
        <w:gridCol w:w="109"/>
        <w:gridCol w:w="2630"/>
        <w:gridCol w:w="2630"/>
        <w:gridCol w:w="3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Soliciting Material Pursuant to §240.14a-12</w:t>
            </w:r>
          </w:p>
        </w:tc>
      </w:tr>
    </w:tbl>
    <w:p>
      <w:pPr>
        <w:pStyle w:val="TextBody"/>
        <w:bidi w:val="0"/>
        <w:spacing w:lineRule="auto" w:line="362" w:before="480" w:after="283"/>
        <w:jc w:val="center"/>
        <w:rPr>
          <w:rFonts w:ascii="Lato;sans-serif" w:hAnsi="Lato;sans-serif"/>
          <w:b/>
          <w:color w:val="000000"/>
          <w:sz w:val="36"/>
        </w:rPr>
      </w:pPr>
      <w:r>
        <w:rPr>
          <w:rFonts w:ascii="Lato;sans-serif" w:hAnsi="Lato;sans-serif"/>
          <w:b/>
          <w:color w:val="000000"/>
          <w:sz w:val="36"/>
        </w:rPr>
        <w:t>GIGACLOUD TECHNOLOGY INC</w:t>
      </w:r>
    </w:p>
    <w:p>
      <w:pPr>
        <w:pStyle w:val="TextBody"/>
        <w:bidi w:val="0"/>
        <w:spacing w:lineRule="auto" w:line="362" w:before="0" w:after="0"/>
        <w:jc w:val="center"/>
        <w:rPr>
          <w:rFonts w:ascii="Lato;sans-serif" w:hAnsi="Lato;sans-serif"/>
          <w:b w:val="false"/>
          <w:color w:val="000000"/>
          <w:sz w:val="20"/>
        </w:rPr>
      </w:pPr>
      <w:r>
        <w:rPr>
          <w:rFonts w:ascii="Lato;sans-serif" w:hAnsi="Lato;sans-serif"/>
          <w:b w:val="false"/>
          <w:color w:val="000000"/>
          <w:sz w:val="20"/>
        </w:rPr>
        <w:t>________________________________________________________________________________________________</w:t>
      </w:r>
    </w:p>
    <w:p>
      <w:pPr>
        <w:pStyle w:val="TextBody"/>
        <w:bidi w:val="0"/>
        <w:spacing w:lineRule="auto" w:line="362" w:before="0" w:after="0"/>
        <w:jc w:val="center"/>
        <w:rPr>
          <w:rFonts w:ascii="Lato;sans-serif" w:hAnsi="Lato;sans-serif"/>
          <w:b w:val="false"/>
          <w:color w:val="000000"/>
          <w:sz w:val="20"/>
        </w:rPr>
      </w:pPr>
      <w:r>
        <w:rPr>
          <w:rFonts w:ascii="Lato;sans-serif" w:hAnsi="Lato;sans-serif"/>
          <w:b w:val="false"/>
          <w:color w:val="000000"/>
          <w:sz w:val="20"/>
        </w:rPr>
        <w:t>(Name of Registrant as Specified In Its Charter)</w:t>
      </w:r>
    </w:p>
    <w:p>
      <w:pPr>
        <w:pStyle w:val="TextBody"/>
        <w:bidi w:val="0"/>
        <w:spacing w:lineRule="auto" w:line="362" w:before="200" w:after="283"/>
        <w:jc w:val="center"/>
        <w:rPr>
          <w:rFonts w:ascii="Lato;sans-serif" w:hAnsi="Lato;sans-serif"/>
          <w:b w:val="false"/>
          <w:color w:val="000000"/>
          <w:sz w:val="20"/>
        </w:rPr>
      </w:pPr>
      <w:r>
        <w:rPr>
          <w:rFonts w:ascii="Lato;sans-serif" w:hAnsi="Lato;sans-serif"/>
          <w:b w:val="false"/>
          <w:color w:val="000000"/>
          <w:sz w:val="20"/>
        </w:rPr>
        <w:t>_________________________________________________________________________________________________</w:t>
      </w:r>
    </w:p>
    <w:p>
      <w:pPr>
        <w:pStyle w:val="TextBody"/>
        <w:bidi w:val="0"/>
        <w:spacing w:lineRule="auto" w:line="362" w:before="0" w:after="0"/>
        <w:jc w:val="center"/>
        <w:rPr>
          <w:rFonts w:ascii="Lato;sans-serif" w:hAnsi="Lato;sans-serif"/>
          <w:b w:val="false"/>
          <w:color w:val="000000"/>
          <w:sz w:val="20"/>
        </w:rPr>
      </w:pPr>
      <w:r>
        <w:rPr>
          <w:rFonts w:ascii="Lato;sans-serif" w:hAnsi="Lato;sans-serif"/>
          <w:b w:val="false"/>
          <w:color w:val="000000"/>
          <w:sz w:val="20"/>
        </w:rPr>
        <w:t>(Name of Person(s) Filing Proxy Statement, if other than the Registrant)</w:t>
      </w:r>
    </w:p>
    <w:p>
      <w:pPr>
        <w:pStyle w:val="TextBody"/>
        <w:bidi w:val="0"/>
        <w:spacing w:lineRule="auto" w:line="362" w:before="800" w:after="160"/>
        <w:jc w:val="left"/>
        <w:rPr>
          <w:rFonts w:ascii="Lato;sans-serif" w:hAnsi="Lato;sans-serif"/>
          <w:b w:val="false"/>
          <w:color w:val="000000"/>
          <w:sz w:val="20"/>
        </w:rPr>
      </w:pPr>
      <w:r>
        <w:rPr>
          <w:rFonts w:ascii="Lato;sans-serif" w:hAnsi="Lato;sans-serif"/>
          <w:b w:val="false"/>
          <w:color w:val="000000"/>
          <w:sz w:val="20"/>
        </w:rPr>
        <w:t>Payment of Filing Fee (Check the appropriate box):</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9"/>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283"/>
        <w:jc w:val="left"/>
        <w:rPr>
          <w:rFonts w:ascii="Lato;sans-serif" w:hAnsi="Lato;sans-serif"/>
          <w:b/>
          <w:color w:val="000000"/>
          <w:sz w:val="18"/>
        </w:rPr>
      </w:pPr>
      <w:r>
        <w:rPr>
          <w:rFonts w:ascii="Lato;sans-serif" w:hAnsi="Lato;sans-serif"/>
          <w:b/>
          <w:color w:val="000000"/>
          <w:sz w:val="18"/>
        </w:rPr>
        <w:t>GigaCloud Technology Inc</w:t>
      </w:r>
    </w:p>
    <w:p>
      <w:pPr>
        <w:pStyle w:val="TextBody"/>
        <w:bidi w:val="0"/>
        <w:spacing w:lineRule="auto" w:line="362" w:before="0" w:after="0"/>
        <w:jc w:val="left"/>
        <w:rPr>
          <w:rFonts w:ascii="Lato;sans-serif" w:hAnsi="Lato;sans-serif"/>
          <w:b w:val="false"/>
          <w:color w:val="000000"/>
          <w:sz w:val="18"/>
        </w:rPr>
      </w:pPr>
      <w:r>
        <w:rPr>
          <w:rFonts w:ascii="Lato;sans-serif" w:hAnsi="Lato;sans-serif"/>
          <w:b w:val="false"/>
          <w:color w:val="000000"/>
          <w:sz w:val="18"/>
        </w:rPr>
        <w:t>4388 Shirley Avenue</w:t>
      </w:r>
    </w:p>
    <w:p>
      <w:pPr>
        <w:pStyle w:val="TextBody"/>
        <w:bidi w:val="0"/>
        <w:spacing w:lineRule="auto" w:line="362" w:before="0" w:after="160"/>
        <w:jc w:val="left"/>
        <w:rPr>
          <w:rFonts w:ascii="Lato;sans-serif" w:hAnsi="Lato;sans-serif"/>
          <w:b w:val="false"/>
          <w:color w:val="000000"/>
          <w:sz w:val="18"/>
        </w:rPr>
      </w:pPr>
      <w:r>
        <w:rPr>
          <w:rFonts w:ascii="Lato;sans-serif" w:hAnsi="Lato;sans-serif"/>
          <w:b w:val="false"/>
          <w:color w:val="000000"/>
          <w:sz w:val="18"/>
        </w:rPr>
        <w:t xml:space="preserve">El Monte, CA 91731 </w:t>
      </w:r>
    </w:p>
    <w:tbl>
      <w:tblPr>
        <w:tblW w:w="2534" w:type="dxa"/>
        <w:jc w:val="left"/>
        <w:tblInd w:w="0" w:type="dxa"/>
        <w:tblLayout w:type="fixed"/>
        <w:tblCellMar>
          <w:top w:w="28" w:type="dxa"/>
          <w:left w:w="28" w:type="dxa"/>
          <w:bottom w:w="28" w:type="dxa"/>
          <w:right w:w="28" w:type="dxa"/>
        </w:tblCellMar>
      </w:tblPr>
      <w:tblGrid>
        <w:gridCol w:w="811"/>
        <w:gridCol w:w="712"/>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Telephone: 626-912-8886</w:t>
            </w:r>
          </w:p>
        </w:tc>
      </w:tr>
    </w:tbl>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April 30, 2026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To the Shareholders of GigaCloud Technology Inc:</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You are cordially invited to attend the 2026 Annual Meeting of Shareholders, or the Annual Meeting, of GigaCloud Technology Inc, or GigaCloud, on July 10, 2026, Friday, at 9:00 a.m. (Pacific Time), virtually available at the virtual meeting site of meetnow.global/MQKSRYF.</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All GigaCloud shareholders of record at the close of business on April 28, 2026 are welcome to attend the Annual Meeting, but it is important that your shares are represented at the Annual Meeting whether or not you plan to attend. To ensure that you will be represented, we ask you to vote by telephone, by mail, or over the Internet as soon as possible.</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Along with the other members of GigaCloud’s board of directors, I look forward to personally greeting those shareholders who attend this year's meeting. On behalf of the board of directors and leadership team of GigaCloud, I would like to express our appreciation for your continued interest in the business of GigaCloud.</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Sincerely,</w:t>
      </w:r>
    </w:p>
    <w:tbl>
      <w:tblPr>
        <w:tblW w:w="7525" w:type="dxa"/>
        <w:jc w:val="left"/>
        <w:tblInd w:w="0" w:type="dxa"/>
        <w:tblLayout w:type="fixed"/>
        <w:tblCellMar>
          <w:top w:w="28" w:type="dxa"/>
          <w:left w:w="28" w:type="dxa"/>
          <w:bottom w:w="28" w:type="dxa"/>
          <w:right w:w="28" w:type="dxa"/>
        </w:tblCellMar>
      </w:tblPr>
      <w:tblGrid>
        <w:gridCol w:w="1287"/>
        <w:gridCol w:w="1131"/>
        <w:gridCol w:w="1133"/>
        <w:gridCol w:w="1164"/>
        <w:gridCol w:w="1164"/>
        <w:gridCol w:w="1646"/>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18478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190750" cy="1847850"/>
                          </a:xfrm>
                          <a:prstGeom prst="rect">
                            <a:avLst/>
                          </a:prstGeom>
                        </pic:spPr>
                      </pic:pic>
                    </a:graphicData>
                  </a:graphic>
                </wp:inline>
              </w:drawing>
            </w:r>
            <w:bookmarkStart w:id="0" w:name="i-1"/>
            <w:bookmarkEnd w:id="0"/>
          </w:p>
        </w:tc>
        <w:tc>
          <w:tcPr>
            <w:tcW w:w="3974" w:type="dxa"/>
            <w:gridSpan w:val="3"/>
            <w:tcBorders/>
            <w:tcMar>
              <w:top w:w="0" w:type="dxa"/>
              <w:left w:w="0" w:type="dxa"/>
              <w:bottom w:w="0" w:type="dxa"/>
              <w:right w:w="0" w:type="dxa"/>
            </w:tcMar>
            <w:vAlign w:val="center"/>
          </w:tcPr>
          <w:p>
            <w:pPr>
              <w:pStyle w:val="TableContents"/>
              <w:bidi w:val="0"/>
              <w:spacing w:before="160" w:after="160"/>
              <w:jc w:val="left"/>
              <w:rPr/>
            </w:pPr>
            <w:r>
              <w:rPr/>
              <w:drawing>
                <wp:inline distT="0" distB="0" distL="0" distR="0">
                  <wp:extent cx="2190750" cy="10096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190750" cy="1009650"/>
                          </a:xfrm>
                          <a:prstGeom prst="rect">
                            <a:avLst/>
                          </a:prstGeom>
                        </pic:spPr>
                      </pic:pic>
                    </a:graphicData>
                  </a:graphic>
                </wp:inline>
              </w:drawing>
            </w:r>
            <w:bookmarkStart w:id="1" w:name="i-2"/>
            <w:bookmarkEnd w:id="1"/>
          </w:p>
          <w:p>
            <w:pPr>
              <w:pStyle w:val="TableContents"/>
              <w:bidi w:val="0"/>
              <w:spacing w:lineRule="auto" w:line="362" w:before="160" w:after="283"/>
              <w:jc w:val="left"/>
              <w:rPr>
                <w:rFonts w:ascii="Lato;sans-serif" w:hAnsi="Lato;sans-serif"/>
                <w:b w:val="false"/>
                <w:color w:val="000000"/>
                <w:sz w:val="20"/>
              </w:rPr>
            </w:pPr>
            <w:r>
              <w:rPr>
                <w:rFonts w:ascii="Lato;sans-serif" w:hAnsi="Lato;sans-serif"/>
                <w:b w:val="false"/>
                <w:color w:val="000000"/>
                <w:sz w:val="20"/>
              </w:rPr>
              <w:t>Larry Lei Wu</w:t>
            </w:r>
          </w:p>
          <w:p>
            <w:pPr>
              <w:pStyle w:val="TableContents"/>
              <w:bidi w:val="0"/>
              <w:spacing w:lineRule="auto" w:line="362" w:before="100" w:after="283"/>
              <w:jc w:val="left"/>
              <w:rPr>
                <w:rFonts w:ascii="Lato;sans-serif" w:hAnsi="Lato;sans-serif"/>
                <w:b w:val="false"/>
                <w:i/>
                <w:color w:val="000000"/>
                <w:sz w:val="20"/>
              </w:rPr>
            </w:pPr>
            <w:r>
              <w:rPr>
                <w:rFonts w:ascii="Lato;sans-serif" w:hAnsi="Lato;sans-serif"/>
                <w:b w:val="false"/>
                <w:i/>
                <w:color w:val="000000"/>
                <w:sz w:val="20"/>
              </w:rPr>
              <w:t>Chairman of the Board of Directors and</w:t>
            </w:r>
          </w:p>
          <w:p>
            <w:pPr>
              <w:pStyle w:val="TableContents"/>
              <w:bidi w:val="0"/>
              <w:spacing w:lineRule="auto" w:line="362" w:before="0" w:after="0"/>
              <w:jc w:val="left"/>
              <w:rPr>
                <w:rFonts w:ascii="Lato;sans-serif" w:hAnsi="Lato;sans-serif"/>
                <w:b w:val="false"/>
                <w:i/>
                <w:color w:val="000000"/>
                <w:sz w:val="20"/>
              </w:rPr>
            </w:pPr>
            <w:r>
              <w:rPr>
                <w:rFonts w:ascii="Lato;sans-serif" w:hAnsi="Lato;sans-serif"/>
                <w:b w:val="false"/>
                <w:i/>
                <w:color w:val="000000"/>
                <w:sz w:val="20"/>
              </w:rPr>
              <w:t>Chief Executive Officer</w:t>
            </w:r>
          </w:p>
        </w:tc>
      </w:tr>
    </w:tbl>
    <w:p>
      <w:pPr>
        <w:pStyle w:val="TextBody"/>
        <w:bidi w:val="0"/>
        <w:spacing w:before="80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0"/>
        <w:jc w:val="left"/>
        <w:rPr>
          <w:rFonts w:ascii="Lato;sans-serif" w:hAnsi="Lato;sans-serif"/>
          <w:b/>
          <w:color w:val="000000"/>
          <w:sz w:val="18"/>
        </w:rPr>
      </w:pPr>
      <w:r>
        <w:rPr>
          <w:rFonts w:ascii="Lato;sans-serif" w:hAnsi="Lato;sans-serif"/>
          <w:b/>
          <w:color w:val="000000"/>
          <w:sz w:val="18"/>
        </w:rPr>
        <w:t>GigaCloud Technology Inc</w:t>
      </w:r>
    </w:p>
    <w:p>
      <w:pPr>
        <w:pStyle w:val="TextBody"/>
        <w:bidi w:val="0"/>
        <w:spacing w:lineRule="auto" w:line="362" w:before="0" w:after="0"/>
        <w:jc w:val="left"/>
        <w:rPr>
          <w:rFonts w:ascii="Lato;sans-serif" w:hAnsi="Lato;sans-serif"/>
          <w:b w:val="false"/>
          <w:color w:val="000000"/>
          <w:sz w:val="18"/>
        </w:rPr>
      </w:pPr>
      <w:r>
        <w:rPr>
          <w:rFonts w:ascii="Lato;sans-serif" w:hAnsi="Lato;sans-serif"/>
          <w:b w:val="false"/>
          <w:color w:val="000000"/>
          <w:sz w:val="18"/>
        </w:rPr>
        <w:t>4388 Shirley Avenue</w:t>
      </w:r>
    </w:p>
    <w:p>
      <w:pPr>
        <w:pStyle w:val="TextBody"/>
        <w:bidi w:val="0"/>
        <w:spacing w:lineRule="auto" w:line="362" w:before="0" w:after="160"/>
        <w:jc w:val="left"/>
        <w:rPr>
          <w:rFonts w:ascii="Lato;sans-serif" w:hAnsi="Lato;sans-serif"/>
          <w:b w:val="false"/>
          <w:color w:val="000000"/>
          <w:sz w:val="18"/>
        </w:rPr>
      </w:pPr>
      <w:r>
        <w:rPr>
          <w:rFonts w:ascii="Lato;sans-serif" w:hAnsi="Lato;sans-serif"/>
          <w:b w:val="false"/>
          <w:color w:val="000000"/>
          <w:sz w:val="18"/>
        </w:rPr>
        <w:t xml:space="preserve">El Monte, CA 91731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60" w:after="283"/>
        <w:jc w:val="left"/>
        <w:rPr>
          <w:rFonts w:ascii="Lato;sans-serif" w:hAnsi="Lato;sans-serif"/>
          <w:b/>
          <w:color w:val="005CB9"/>
          <w:sz w:val="40"/>
        </w:rPr>
      </w:pPr>
      <w:r>
        <w:rPr>
          <w:rFonts w:ascii="Lato;sans-serif" w:hAnsi="Lato;sans-serif"/>
          <w:b/>
          <w:color w:val="005CB9"/>
          <w:sz w:val="40"/>
        </w:rPr>
        <w:t>Notice of Annual General Meeting of Shareholders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Notice is hereby given that the 2026 Annual General Meeting of Shareholders, or the Annual Meeting, of GigaCloud Technology Inc will be held:</w:t>
      </w:r>
    </w:p>
    <w:p>
      <w:pPr>
        <w:pStyle w:val="TextBody"/>
        <w:bidi w:val="0"/>
        <w:spacing w:lineRule="auto" w:line="362" w:before="160" w:after="283"/>
        <w:jc w:val="left"/>
        <w:rPr/>
      </w:pPr>
      <w:r>
        <w:rPr>
          <w:rFonts w:ascii="Lato;sans-serif" w:hAnsi="Lato;sans-serif"/>
          <w:b/>
          <w:color w:val="000000"/>
          <w:sz w:val="20"/>
        </w:rPr>
        <w:t xml:space="preserve">Date: July 10, 2026, </w:t>
      </w:r>
      <w:r>
        <w:rPr>
          <w:rFonts w:ascii="Arial;sans-serif" w:hAnsi="Arial;sans-serif"/>
          <w:b/>
          <w:i/>
          <w:color w:val="000000"/>
          <w:sz w:val="20"/>
        </w:rPr>
        <w:t>Friday</w:t>
      </w:r>
    </w:p>
    <w:p>
      <w:pPr>
        <w:pStyle w:val="TextBody"/>
        <w:bidi w:val="0"/>
        <w:spacing w:lineRule="auto" w:line="362" w:before="0" w:after="0"/>
        <w:jc w:val="left"/>
        <w:rPr>
          <w:rFonts w:ascii="Lato;sans-serif" w:hAnsi="Lato;sans-serif"/>
          <w:b/>
          <w:color w:val="000000"/>
          <w:sz w:val="20"/>
        </w:rPr>
      </w:pPr>
      <w:r>
        <w:rPr>
          <w:rFonts w:ascii="Lato;sans-serif" w:hAnsi="Lato;sans-serif"/>
          <w:b/>
          <w:color w:val="000000"/>
          <w:sz w:val="20"/>
        </w:rPr>
        <w:t>Time: 9:00 a.m. Pacific Time</w:t>
      </w:r>
    </w:p>
    <w:p>
      <w:pPr>
        <w:pStyle w:val="TextBody"/>
        <w:bidi w:val="0"/>
        <w:spacing w:lineRule="auto" w:line="362" w:before="0" w:after="0"/>
        <w:jc w:val="left"/>
        <w:rPr/>
      </w:pPr>
      <w:r>
        <w:rPr>
          <w:rFonts w:ascii="Lato;sans-serif" w:hAnsi="Lato;sans-serif"/>
          <w:b/>
          <w:color w:val="000000"/>
          <w:sz w:val="20"/>
        </w:rPr>
        <w:t>Virtual Meeting Site</w:t>
      </w:r>
      <w:r>
        <w:rPr>
          <w:rFonts w:ascii="Lato;sans-serif" w:hAnsi="Lato;sans-serif"/>
          <w:b/>
          <w:color w:val="000000"/>
          <w:sz w:val="13"/>
        </w:rPr>
        <w:t>1</w:t>
      </w:r>
      <w:r>
        <w:rPr>
          <w:rFonts w:ascii="Lato;sans-serif" w:hAnsi="Lato;sans-serif"/>
          <w:b/>
          <w:color w:val="000000"/>
          <w:sz w:val="20"/>
        </w:rPr>
        <w:t xml:space="preserve">: </w:t>
      </w:r>
      <w:r>
        <w:rPr>
          <w:rFonts w:ascii="Lato;sans-serif" w:hAnsi="Lato;sans-serif"/>
          <w:b w:val="false"/>
          <w:color w:val="000000"/>
          <w:sz w:val="20"/>
        </w:rPr>
        <w:t>meetnow.global/MQKSRYF</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Unless the context otherwise requires, references to “GigaCloud,” “our company,” “we,” “us,” and “our” refer to GigaCloud Technology Inc.</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purpose of the meeting is to consider and vote on the following resolutions and matters: </w:t>
      </w:r>
    </w:p>
    <w:p>
      <w:pPr>
        <w:pStyle w:val="TextBody"/>
        <w:bidi w:val="0"/>
        <w:spacing w:lineRule="auto" w:line="362" w:before="160" w:after="160"/>
        <w:jc w:val="left"/>
        <w:rPr/>
      </w:pPr>
      <w:r>
        <w:rPr>
          <w:rFonts w:ascii="Lato;sans-serif" w:hAnsi="Lato;sans-serif"/>
          <w:b w:val="false"/>
          <w:color w:val="000000"/>
          <w:sz w:val="20"/>
        </w:rPr>
        <w:t>1.</w:t>
      </w:r>
      <w:r>
        <w:rPr>
          <w:rFonts w:ascii="Lato;sans-serif" w:hAnsi="Lato;sans-serif"/>
          <w:b w:val="false"/>
          <w:color w:val="000000"/>
          <w:sz w:val="20"/>
        </w:rPr>
        <w:t>To ratify the selection and appointment of Grant Thornton LLP, an independent registered public accounting firm, as the independent auditor of GigaCloud Technology Inc for the fiscal year ending December 31, 2026 ("Proposal 1”).</w:t>
      </w:r>
    </w:p>
    <w:p>
      <w:pPr>
        <w:pStyle w:val="TextBody"/>
        <w:bidi w:val="0"/>
        <w:spacing w:lineRule="auto" w:line="362" w:before="160" w:after="160"/>
        <w:jc w:val="left"/>
        <w:rPr/>
      </w:pPr>
      <w:r>
        <w:rPr>
          <w:rFonts w:ascii="Lato;sans-serif" w:hAnsi="Lato;sans-serif"/>
          <w:b w:val="false"/>
          <w:color w:val="000000"/>
          <w:sz w:val="20"/>
        </w:rPr>
        <w:t>2.</w:t>
      </w:r>
      <w:r>
        <w:rPr>
          <w:rFonts w:ascii="Lato;sans-serif" w:hAnsi="Lato;sans-serif"/>
          <w:b w:val="false"/>
          <w:color w:val="000000"/>
          <w:sz w:val="20"/>
        </w:rPr>
        <w:t>To transact such other business as may properly come before the Annual Meeting and any adjournment or postponement.</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Only shareholders of record at the close of business on April 28, 2026, or the record date, are entitled to receive notice of, and attend and vote at the Annual Meeting or any adjournment thereof. A shareholder entitled to attend and vote at the Annual Meeting is entitled to appoint a proxy to attend and vote on his or her behalf. A proxy need not be our shareholders. You may revoke your proxy at any time prior to its exercise at the Annual Meeting.</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Your vote is important to us. Whether or not you expect to attend the Annual Meeting, we urge you to vote your shares as soon as possible.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We are electronically disseminating Annual Meeting materials to our shareholders, as permitted under the "Notice and Access" rules approved by the Securities and Exchange Commission. Shareholders who have not opted out of Notice and Access will receive a Notice Regarding the Availability of Proxy Materials containing instructions on how to access Annual Meeting materials via the Internet, by telephone or by Email. Shareholders who have opted not to receive Notice or eDelivery will receive a full set of materials via mail. The Notice also provides instructions on how to obtain paper copies if preferred. We expect to mail the Notice Regarding the Availability of Proxy Materials on or around May 28, 2026. We believe electronic delivery of our proxy materials and our Annual Report for the fiscal year ended December 31, 2025, or the 2025 Annual Report, will help us reduce the environmental impact and costs of printing and distributing paper copies and improve the speed and efficiency by which our shareholders can access these materials.</w:t>
      </w:r>
    </w:p>
    <w:p>
      <w:pPr>
        <w:pStyle w:val="TextBody"/>
        <w:bidi w:val="0"/>
        <w:spacing w:lineRule="auto" w:line="362" w:before="0" w:after="0"/>
        <w:jc w:val="left"/>
        <w:rPr/>
      </w:pPr>
      <w:r>
        <w:rPr>
          <w:rFonts w:ascii="Lato;sans-serif" w:hAnsi="Lato;sans-serif"/>
          <w:b w:val="false"/>
          <w:color w:val="000000"/>
          <w:sz w:val="10"/>
        </w:rPr>
        <w:t>1</w:t>
      </w:r>
      <w:r>
        <w:rPr>
          <w:color w:val="000000"/>
        </w:rPr>
        <w:t xml:space="preserve"> </w:t>
      </w:r>
      <w:r>
        <w:rPr>
          <w:rFonts w:ascii="Lato;sans-serif" w:hAnsi="Lato;sans-serif"/>
          <w:b w:val="false"/>
          <w:color w:val="000000"/>
          <w:sz w:val="16"/>
        </w:rPr>
        <w:t xml:space="preserve">Conducted via live audio webcast, through which you can also submit questions and vote online. The Annual Meeting can be accessed by visiting meetnow.global/MQKSRYF and entering your 16-digit control number (included on the Notice Regarding the Availability of Proxy Materials mailed to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37845"/>
                <wp:effectExtent l="0" t="0" r="0" b="0"/>
                <wp:wrapNone/>
                <wp:docPr id="5" name="Frame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By Order of the Board of Directors,</w:t>
      </w:r>
    </w:p>
    <w:p>
      <w:pPr>
        <w:pStyle w:val="TextBody"/>
        <w:bidi w:val="0"/>
        <w:spacing w:lineRule="auto" w:line="362" w:before="160" w:after="160"/>
        <w:jc w:val="left"/>
        <w:rPr/>
      </w:pPr>
      <w:r>
        <w:rPr/>
        <w:drawing>
          <wp:inline distT="0" distB="0" distL="0" distR="0">
            <wp:extent cx="2286000" cy="10477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286000" cy="1047750"/>
                    </a:xfrm>
                    <a:prstGeom prst="rect">
                      <a:avLst/>
                    </a:prstGeom>
                  </pic:spPr>
                </pic:pic>
              </a:graphicData>
            </a:graphic>
          </wp:inline>
        </w:drawing>
      </w:r>
      <w:bookmarkStart w:id="2" w:name="i-3"/>
      <w:bookmarkEnd w:id="2"/>
      <w:r>
        <w:rPr>
          <w:rFonts w:ascii="Lato;sans-serif" w:hAnsi="Lato;sans-serif"/>
          <w:b w:val="false"/>
          <w:color w:val="000000"/>
          <w:sz w:val="24"/>
        </w:rPr>
        <w:br/>
      </w:r>
      <w:r>
        <w:rPr>
          <w:rFonts w:ascii="Lato;sans-serif" w:hAnsi="Lato;sans-serif"/>
          <w:b w:val="false"/>
          <w:color w:val="000000"/>
          <w:sz w:val="20"/>
        </w:rPr>
        <w:t>____________________________________________</w:t>
      </w:r>
    </w:p>
    <w:p>
      <w:pPr>
        <w:pStyle w:val="TextBody"/>
        <w:bidi w:val="0"/>
        <w:spacing w:lineRule="auto" w:line="362" w:before="80" w:after="283"/>
        <w:jc w:val="left"/>
        <w:rPr>
          <w:rFonts w:ascii="Lato;sans-serif" w:hAnsi="Lato;sans-serif"/>
          <w:b w:val="false"/>
          <w:color w:val="000000"/>
          <w:sz w:val="20"/>
        </w:rPr>
      </w:pPr>
      <w:r>
        <w:rPr>
          <w:rFonts w:ascii="Lato;sans-serif" w:hAnsi="Lato;sans-serif"/>
          <w:b w:val="false"/>
          <w:color w:val="000000"/>
          <w:sz w:val="20"/>
        </w:rPr>
        <w:t xml:space="preserve">Larry Lei Wu </w:t>
      </w:r>
    </w:p>
    <w:p>
      <w:pPr>
        <w:pStyle w:val="TextBody"/>
        <w:bidi w:val="0"/>
        <w:spacing w:lineRule="auto" w:line="362" w:before="0" w:after="0"/>
        <w:jc w:val="left"/>
        <w:rPr>
          <w:rFonts w:ascii="Lato;sans-serif" w:hAnsi="Lato;sans-serif"/>
          <w:b w:val="false"/>
          <w:i/>
          <w:color w:val="000000"/>
          <w:sz w:val="20"/>
        </w:rPr>
      </w:pPr>
      <w:r>
        <w:rPr>
          <w:rFonts w:ascii="Lato;sans-serif" w:hAnsi="Lato;sans-serif"/>
          <w:b w:val="false"/>
          <w:i/>
          <w:color w:val="000000"/>
          <w:sz w:val="20"/>
        </w:rPr>
        <w:t xml:space="preserve">Chairman of the Board of Directors and </w:t>
      </w:r>
    </w:p>
    <w:p>
      <w:pPr>
        <w:pStyle w:val="TextBody"/>
        <w:bidi w:val="0"/>
        <w:spacing w:lineRule="auto" w:line="362" w:before="0" w:after="160"/>
        <w:jc w:val="left"/>
        <w:rPr>
          <w:rFonts w:ascii="Lato;sans-serif" w:hAnsi="Lato;sans-serif"/>
          <w:b w:val="false"/>
          <w:i/>
          <w:color w:val="000000"/>
          <w:sz w:val="20"/>
        </w:rPr>
      </w:pPr>
      <w:r>
        <w:rPr>
          <w:rFonts w:ascii="Lato;sans-serif" w:hAnsi="Lato;sans-serif"/>
          <w:b w:val="false"/>
          <w:i/>
          <w:color w:val="000000"/>
          <w:sz w:val="20"/>
        </w:rPr>
        <w:t xml:space="preserve">Chief Executive Officer </w:t>
      </w:r>
    </w:p>
    <w:p>
      <w:pPr>
        <w:pStyle w:val="TextBody"/>
        <w:bidi w:val="0"/>
        <w:spacing w:lineRule="auto" w:line="362" w:before="160" w:after="283"/>
        <w:jc w:val="left"/>
        <w:rPr>
          <w:rFonts w:ascii="Lato;sans-serif" w:hAnsi="Lato;sans-serif"/>
          <w:b w:val="false"/>
          <w:color w:val="000000"/>
          <w:sz w:val="20"/>
        </w:rPr>
      </w:pPr>
      <w:r>
        <w:rPr>
          <w:rFonts w:ascii="Lato;sans-serif" w:hAnsi="Lato;sans-serif"/>
          <w:b w:val="false"/>
          <w:color w:val="000000"/>
          <w:sz w:val="20"/>
        </w:rPr>
        <w:t>El Monte, CA</w:t>
      </w:r>
    </w:p>
    <w:p>
      <w:pPr>
        <w:pStyle w:val="TextBody"/>
        <w:bidi w:val="0"/>
        <w:spacing w:lineRule="auto" w:line="362" w:before="0" w:after="160"/>
        <w:jc w:val="both"/>
        <w:rPr>
          <w:rFonts w:ascii="Lato;sans-serif" w:hAnsi="Lato;sans-serif"/>
          <w:b w:val="false"/>
          <w:color w:val="000000"/>
          <w:sz w:val="20"/>
        </w:rPr>
      </w:pPr>
      <w:r>
        <w:rPr>
          <w:rFonts w:ascii="Lato;sans-serif" w:hAnsi="Lato;sans-serif"/>
          <w:b w:val="false"/>
          <w:color w:val="000000"/>
          <w:sz w:val="20"/>
        </w:rPr>
        <w:t xml:space="preserve">April 30, 2026 </w:t>
      </w:r>
    </w:p>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362" w:before="0" w:after="0"/>
              <w:jc w:val="left"/>
              <w:rPr/>
            </w:pPr>
            <w:r>
              <w:rPr>
                <w:rFonts w:ascii="Lato;sans-serif" w:hAnsi="Lato;sans-serif"/>
                <w:b/>
                <w:color w:val="000000"/>
                <w:sz w:val="20"/>
                <w:shd w:fill="E6E7E8" w:val="clear"/>
              </w:rPr>
              <w:t>Important Notice Regarding the Availability of Proxy Materials for the</w:t>
            </w:r>
            <w:r>
              <w:rPr>
                <w:color w:val="000000"/>
              </w:rPr>
              <w:t xml:space="preserve"> </w:t>
            </w:r>
            <w:r>
              <w:rPr>
                <w:rFonts w:ascii="Lato;sans-serif" w:hAnsi="Lato;sans-serif"/>
                <w:b/>
                <w:color w:val="000000"/>
                <w:sz w:val="20"/>
                <w:shd w:fill="E6E7E8" w:val="clear"/>
              </w:rPr>
              <w:t xml:space="preserve">Annual Meeting of Shareholders to be held on </w:t>
            </w:r>
            <w:r>
              <w:rPr>
                <w:rFonts w:ascii="Lato;sans-serif" w:hAnsi="Lato;sans-serif"/>
                <w:b/>
                <w:color w:val="000000"/>
                <w:sz w:val="20"/>
              </w:rPr>
              <w:t>July 10, 2026</w:t>
            </w:r>
            <w:r>
              <w:rPr>
                <w:rFonts w:ascii="Lato;sans-serif" w:hAnsi="Lato;sans-serif"/>
                <w:b/>
                <w:color w:val="000000"/>
                <w:sz w:val="20"/>
                <w:shd w:fill="E6E7E8" w:val="clear"/>
              </w:rPr>
              <w:t>:</w:t>
            </w:r>
          </w:p>
          <w:p>
            <w:pPr>
              <w:pStyle w:val="TableContents"/>
              <w:bidi w:val="0"/>
              <w:spacing w:lineRule="auto" w:line="362" w:before="0" w:after="0"/>
              <w:jc w:val="left"/>
              <w:rPr/>
            </w:pPr>
            <w:r>
              <w:rPr>
                <w:rFonts w:ascii="Lato;sans-serif" w:hAnsi="Lato;sans-serif"/>
                <w:b/>
                <w:color w:val="000000"/>
                <w:sz w:val="20"/>
                <w:shd w:fill="E6E7E8" w:val="clear"/>
              </w:rPr>
              <w:t xml:space="preserve">The Notice of Annual Meeting, Proxy Statement and </w:t>
            </w:r>
            <w:r>
              <w:rPr>
                <w:rFonts w:ascii="Lato;sans-serif" w:hAnsi="Lato;sans-serif"/>
                <w:b/>
                <w:color w:val="000000"/>
                <w:sz w:val="20"/>
              </w:rPr>
              <w:t>2025</w:t>
            </w:r>
            <w:r>
              <w:rPr>
                <w:color w:val="000000"/>
                <w:shd w:fill="E6E7E8" w:val="clear"/>
              </w:rPr>
              <w:t xml:space="preserve"> </w:t>
            </w:r>
            <w:r>
              <w:rPr>
                <w:rFonts w:ascii="Lato;sans-serif" w:hAnsi="Lato;sans-serif"/>
                <w:b/>
                <w:color w:val="000000"/>
                <w:sz w:val="20"/>
                <w:shd w:fill="E6E7E8" w:val="clear"/>
              </w:rPr>
              <w:t>Annual Report to Shareholders will be available electronically at</w:t>
            </w:r>
            <w:r>
              <w:rPr>
                <w:color w:val="000000"/>
              </w:rPr>
              <w:t xml:space="preserve"> </w:t>
            </w:r>
            <w:r>
              <w:rPr>
                <w:rFonts w:ascii="Lato;sans-serif" w:hAnsi="Lato;sans-serif"/>
                <w:b/>
                <w:color w:val="000000"/>
                <w:sz w:val="20"/>
                <w:shd w:fill="E6E7E8" w:val="clear"/>
              </w:rPr>
              <w:t>https://www.gigacloudtech.com/</w:t>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37845"/>
                <wp:effectExtent l="0" t="0" r="0" b="0"/>
                <wp:wrapNone/>
                <wp:docPr id="7" name="Frame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4094" w:type="dxa"/>
        <w:jc w:val="left"/>
        <w:tblInd w:w="0" w:type="dxa"/>
        <w:tblLayout w:type="fixed"/>
        <w:tblCellMar>
          <w:top w:w="28" w:type="dxa"/>
          <w:left w:w="28" w:type="dxa"/>
          <w:bottom w:w="28" w:type="dxa"/>
          <w:right w:w="28" w:type="dxa"/>
        </w:tblCellMar>
      </w:tblPr>
      <w:tblGrid>
        <w:gridCol w:w="1309"/>
        <w:gridCol w:w="1152"/>
        <w:gridCol w:w="1633"/>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62" w:before="160" w:after="160"/>
              <w:jc w:val="left"/>
              <w:rPr>
                <w:rFonts w:ascii="Lato;sans-serif" w:hAnsi="Lato;sans-serif"/>
                <w:b w:val="false"/>
                <w:color w:val="000000"/>
                <w:sz w:val="18"/>
              </w:rPr>
            </w:pPr>
            <w:r>
              <w:rPr>
                <w:rFonts w:ascii="Lato;sans-serif" w:hAnsi="Lato;sans-serif"/>
                <w:b w:val="false"/>
                <w:color w:val="000000"/>
                <w:sz w:val="18"/>
              </w:rPr>
              <w:t>GigaCloud Technology Inc Proxy Statement</w:t>
            </w:r>
          </w:p>
        </w:tc>
      </w:tr>
    </w:tbl>
    <w:p>
      <w:pPr>
        <w:pStyle w:val="TextBody"/>
        <w:bidi w:val="0"/>
        <w:spacing w:lineRule="auto" w:line="240" w:before="0" w:after="160"/>
        <w:jc w:val="center"/>
        <w:rPr>
          <w:rFonts w:ascii="Lato;sans-serif" w:hAnsi="Lato;sans-serif"/>
          <w:b/>
          <w:color w:val="0070C0"/>
          <w:sz w:val="40"/>
        </w:rPr>
      </w:pPr>
      <w:r>
        <w:rPr>
          <w:rFonts w:ascii="Lato;sans-serif" w:hAnsi="Lato;sans-serif"/>
          <w:b/>
          <w:color w:val="0070C0"/>
          <w:sz w:val="40"/>
        </w:rPr>
        <w:t>Table of Contents</w:t>
      </w:r>
    </w:p>
    <w:tbl>
      <w:tblPr>
        <w:tblW w:w="8866" w:type="dxa"/>
        <w:jc w:val="left"/>
        <w:tblInd w:w="0" w:type="dxa"/>
        <w:tblLayout w:type="fixed"/>
        <w:tblCellMar>
          <w:top w:w="28" w:type="dxa"/>
          <w:left w:w="28" w:type="dxa"/>
          <w:bottom w:w="28" w:type="dxa"/>
          <w:right w:w="28" w:type="dxa"/>
        </w:tblCellMar>
      </w:tblPr>
      <w:tblGrid>
        <w:gridCol w:w="3067"/>
        <w:gridCol w:w="2698"/>
        <w:gridCol w:w="2710"/>
        <w:gridCol w:w="114"/>
        <w:gridCol w:w="114"/>
        <w:gridCol w:w="163"/>
      </w:tblGrid>
      <w:tr>
        <w:trPr/>
        <w:tc>
          <w:tcPr>
            <w:tcW w:w="3067"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0">
              <w:r>
                <w:rPr>
                  <w:rStyle w:val="InternetLink"/>
                  <w:rFonts w:ascii="Lato;sans-serif" w:hAnsi="Lato;sans-serif"/>
                  <w:b/>
                  <w:color w:val="0000FF"/>
                  <w:sz w:val="20"/>
                  <w:u w:val="single"/>
                </w:rPr>
                <w:t>Notice of Annual General Meeting of Shareholders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0">
              <w:r>
                <w:rPr>
                  <w:rStyle w:val="InternetLink"/>
                  <w:rFonts w:ascii="Lato;sans-serif" w:hAnsi="Lato;sans-serif"/>
                  <w:b w:val="false"/>
                  <w:color w:val="0000FF"/>
                  <w:sz w:val="20"/>
                  <w:u w:val="single"/>
                </w:rPr>
                <w:t>3</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6">
              <w:r>
                <w:rPr>
                  <w:rStyle w:val="InternetLink"/>
                  <w:rFonts w:ascii="Lato;sans-serif" w:hAnsi="Lato;sans-serif"/>
                  <w:b/>
                  <w:color w:val="0000FF"/>
                  <w:sz w:val="20"/>
                  <w:u w:val="single"/>
                </w:rPr>
                <w:t>Proposal 1 Ratification of Appointment of Independent Auditor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6">
              <w:r>
                <w:rPr>
                  <w:rStyle w:val="InternetLink"/>
                  <w:rFonts w:ascii="Lato;sans-serif" w:hAnsi="Lato;sans-serif"/>
                  <w:b w:val="false"/>
                  <w:color w:val="0000FF"/>
                  <w:sz w:val="20"/>
                  <w:u w:val="single"/>
                </w:rPr>
                <w:t>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25">
              <w:r>
                <w:rPr>
                  <w:rStyle w:val="InternetLink"/>
                  <w:rFonts w:ascii="Lato;sans-serif" w:hAnsi="Lato;sans-serif"/>
                  <w:b/>
                  <w:color w:val="0000FF"/>
                  <w:sz w:val="20"/>
                  <w:u w:val="single"/>
                </w:rPr>
                <w:t>Information About Our Board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25">
              <w:r>
                <w:rPr>
                  <w:rStyle w:val="InternetLink"/>
                  <w:rFonts w:ascii="Lato;sans-serif" w:hAnsi="Lato;sans-serif"/>
                  <w:b w:val="false"/>
                  <w:color w:val="0000FF"/>
                  <w:sz w:val="20"/>
                  <w:u w:val="single"/>
                </w:rPr>
                <w:t>11</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Director Biographies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28">
              <w:r>
                <w:rPr>
                  <w:rStyle w:val="InternetLink"/>
                  <w:rFonts w:ascii="Lato;sans-serif" w:hAnsi="Lato;sans-serif"/>
                  <w:b w:val="false"/>
                  <w:color w:val="0000FF"/>
                  <w:sz w:val="20"/>
                  <w:u w:val="single"/>
                </w:rPr>
                <w:t>12</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Terms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31">
              <w:r>
                <w:rPr>
                  <w:rStyle w:val="InternetLink"/>
                  <w:rFonts w:ascii="Lato;sans-serif" w:hAnsi="Lato;sans-serif"/>
                  <w:b w:val="false"/>
                  <w:color w:val="0000FF"/>
                  <w:sz w:val="20"/>
                  <w:u w:val="single"/>
                </w:rPr>
                <w:t>13</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Director 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34">
              <w:r>
                <w:rPr>
                  <w:rStyle w:val="InternetLink"/>
                  <w:rFonts w:ascii="Lato;sans-serif" w:hAnsi="Lato;sans-serif"/>
                  <w:b w:val="false"/>
                  <w:color w:val="0000FF"/>
                  <w:sz w:val="20"/>
                  <w:u w:val="single"/>
                </w:rPr>
                <w:t>15</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40">
              <w:r>
                <w:rPr>
                  <w:rStyle w:val="InternetLink"/>
                  <w:rFonts w:ascii="Lato;sans-serif" w:hAnsi="Lato;sans-serif"/>
                  <w:b/>
                  <w:color w:val="0000FF"/>
                  <w:sz w:val="20"/>
                  <w:u w:val="single"/>
                </w:rPr>
                <w:t>Corporate Governance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40">
              <w:r>
                <w:rPr>
                  <w:rStyle w:val="InternetLink"/>
                  <w:rFonts w:ascii="Lato;sans-serif" w:hAnsi="Lato;sans-serif"/>
                  <w:b w:val="false"/>
                  <w:color w:val="0000FF"/>
                  <w:sz w:val="20"/>
                  <w:u w:val="single"/>
                </w:rPr>
                <w:t>16</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Corporate Governance Guidelines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43">
              <w:r>
                <w:rPr>
                  <w:rStyle w:val="InternetLink"/>
                  <w:rFonts w:ascii="Lato;sans-serif" w:hAnsi="Lato;sans-serif"/>
                  <w:b w:val="false"/>
                  <w:color w:val="0000FF"/>
                  <w:sz w:val="20"/>
                  <w:u w:val="single"/>
                </w:rPr>
                <w:t>16</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Code of Business Conduct and Ethics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46">
              <w:r>
                <w:rPr>
                  <w:rStyle w:val="InternetLink"/>
                  <w:rFonts w:ascii="Lato;sans-serif" w:hAnsi="Lato;sans-serif"/>
                  <w:b w:val="false"/>
                  <w:color w:val="0000FF"/>
                  <w:sz w:val="20"/>
                  <w:u w:val="single"/>
                </w:rPr>
                <w:t>16</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Director Independence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49">
              <w:r>
                <w:rPr>
                  <w:rStyle w:val="InternetLink"/>
                  <w:rFonts w:ascii="Lato;sans-serif" w:hAnsi="Lato;sans-serif"/>
                  <w:b w:val="false"/>
                  <w:color w:val="0000FF"/>
                  <w:sz w:val="20"/>
                  <w:u w:val="single"/>
                </w:rPr>
                <w:t>16</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Risk Oversight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52">
              <w:r>
                <w:rPr>
                  <w:rStyle w:val="InternetLink"/>
                  <w:rFonts w:ascii="Lato;sans-serif" w:hAnsi="Lato;sans-serif"/>
                  <w:b w:val="false"/>
                  <w:color w:val="0000FF"/>
                  <w:sz w:val="20"/>
                  <w:u w:val="single"/>
                </w:rPr>
                <w:t>17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Shareholder Communications with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55">
              <w:r>
                <w:rPr>
                  <w:rStyle w:val="InternetLink"/>
                  <w:rFonts w:ascii="Lato;sans-serif" w:hAnsi="Lato;sans-serif"/>
                  <w:b w:val="false"/>
                  <w:color w:val="0000FF"/>
                  <w:sz w:val="20"/>
                  <w:u w:val="single"/>
                </w:rPr>
                <w:t>17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Lato;sans-serif" w:hAnsi="Lato;sans-serif"/>
                <w:b w:val="false"/>
                <w:color w:val="000000"/>
                <w:sz w:val="20"/>
              </w:rPr>
              <w:t>Board Qualifications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58">
              <w:r>
                <w:rPr>
                  <w:rStyle w:val="InternetLink"/>
                  <w:rFonts w:ascii="Lato;sans-serif" w:hAnsi="Lato;sans-serif"/>
                  <w:b w:val="false"/>
                  <w:color w:val="0000FF"/>
                  <w:sz w:val="20"/>
                  <w:u w:val="single"/>
                </w:rPr>
                <w:t>17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Interested Transactions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61">
              <w:r>
                <w:rPr>
                  <w:rStyle w:val="InternetLink"/>
                  <w:rFonts w:ascii="Lato;sans-serif" w:hAnsi="Lato;sans-serif"/>
                  <w:b w:val="false"/>
                  <w:color w:val="0000FF"/>
                  <w:sz w:val="20"/>
                  <w:u w:val="single"/>
                </w:rPr>
                <w:t>17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Duties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64">
              <w:r>
                <w:rPr>
                  <w:rStyle w:val="InternetLink"/>
                  <w:rFonts w:ascii="Lato;sans-serif" w:hAnsi="Lato;sans-serif"/>
                  <w:b w:val="false"/>
                  <w:color w:val="0000FF"/>
                  <w:sz w:val="20"/>
                  <w:u w:val="single"/>
                </w:rPr>
                <w:t>18</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Director Nominations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67">
              <w:r>
                <w:rPr>
                  <w:rStyle w:val="InternetLink"/>
                  <w:rFonts w:ascii="Lato;sans-serif" w:hAnsi="Lato;sans-serif"/>
                  <w:b w:val="false"/>
                  <w:color w:val="0000FF"/>
                  <w:sz w:val="20"/>
                  <w:u w:val="single"/>
                </w:rPr>
                <w:t>18</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Attendance at Annual Meeting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70">
              <w:r>
                <w:rPr>
                  <w:rStyle w:val="InternetLink"/>
                  <w:rFonts w:ascii="Lato;sans-serif" w:hAnsi="Lato;sans-serif"/>
                  <w:b w:val="false"/>
                  <w:color w:val="0000FF"/>
                  <w:sz w:val="20"/>
                  <w:u w:val="single"/>
                </w:rPr>
                <w:t>19</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Board Leadership Structure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73">
              <w:r>
                <w:rPr>
                  <w:rStyle w:val="InternetLink"/>
                  <w:rFonts w:ascii="Lato;sans-serif" w:hAnsi="Lato;sans-serif"/>
                  <w:b w:val="false"/>
                  <w:color w:val="0000FF"/>
                  <w:sz w:val="20"/>
                  <w:u w:val="single"/>
                </w:rPr>
                <w:t>19</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Board Meetings and 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76">
              <w:r>
                <w:rPr>
                  <w:rStyle w:val="InternetLink"/>
                  <w:rFonts w:ascii="Lato;sans-serif" w:hAnsi="Lato;sans-serif"/>
                  <w:b w:val="false"/>
                  <w:color w:val="0000FF"/>
                  <w:sz w:val="20"/>
                  <w:u w:val="single"/>
                </w:rPr>
                <w:t>19</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Insider Trading Arrangements and Policies; Anti-Hedging and Anti-Pledging Policies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79">
              <w:r>
                <w:rPr>
                  <w:rStyle w:val="InternetLink"/>
                  <w:rFonts w:ascii="Lato;sans-serif" w:hAnsi="Lato;sans-serif"/>
                  <w:b w:val="false"/>
                  <w:color w:val="0000FF"/>
                  <w:sz w:val="20"/>
                  <w:u w:val="single"/>
                </w:rPr>
                <w:t>22</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82">
              <w:r>
                <w:rPr>
                  <w:rStyle w:val="InternetLink"/>
                  <w:rFonts w:ascii="Lato;sans-serif" w:hAnsi="Lato;sans-serif"/>
                  <w:b/>
                  <w:color w:val="0000FF"/>
                  <w:sz w:val="20"/>
                  <w:u w:val="single"/>
                </w:rPr>
                <w:t>Audit Committee Report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82">
              <w:r>
                <w:rPr>
                  <w:rStyle w:val="InternetLink"/>
                  <w:rFonts w:ascii="Lato;sans-serif" w:hAnsi="Lato;sans-serif"/>
                  <w:b w:val="false"/>
                  <w:color w:val="0000FF"/>
                  <w:sz w:val="20"/>
                  <w:u w:val="single"/>
                </w:rPr>
                <w:t>23</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85">
              <w:r>
                <w:rPr>
                  <w:rStyle w:val="InternetLink"/>
                  <w:rFonts w:ascii="Lato;sans-serif" w:hAnsi="Lato;sans-serif"/>
                  <w:b/>
                  <w:color w:val="0000FF"/>
                  <w:sz w:val="20"/>
                  <w:u w:val="single"/>
                </w:rPr>
                <w:t>Executive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85">
              <w:r>
                <w:rPr>
                  <w:rStyle w:val="InternetLink"/>
                  <w:rFonts w:ascii="Lato;sans-serif" w:hAnsi="Lato;sans-serif"/>
                  <w:b w:val="false"/>
                  <w:color w:val="0000FF"/>
                  <w:sz w:val="20"/>
                  <w:u w:val="single"/>
                </w:rPr>
                <w:t>24</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Executive Officer Biographies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88">
              <w:r>
                <w:rPr>
                  <w:rStyle w:val="InternetLink"/>
                  <w:rFonts w:ascii="Lato;sans-serif" w:hAnsi="Lato;sans-serif"/>
                  <w:b w:val="false"/>
                  <w:color w:val="0000FF"/>
                  <w:sz w:val="20"/>
                  <w:u w:val="single"/>
                </w:rPr>
                <w:t>24</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91">
              <w:r>
                <w:rPr>
                  <w:rStyle w:val="InternetLink"/>
                  <w:rFonts w:ascii="Lato;sans-serif" w:hAnsi="Lato;sans-serif"/>
                  <w:b/>
                  <w:color w:val="0000FF"/>
                  <w:sz w:val="20"/>
                  <w:u w:val="single"/>
                </w:rPr>
                <w:t>Compensation Discussion and Analysis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91">
              <w:r>
                <w:rPr>
                  <w:rStyle w:val="InternetLink"/>
                  <w:rFonts w:ascii="Lato;sans-serif" w:hAnsi="Lato;sans-serif"/>
                  <w:b w:val="false"/>
                  <w:color w:val="0000FF"/>
                  <w:sz w:val="20"/>
                  <w:u w:val="single"/>
                </w:rPr>
                <w:t>25</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Named Executive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94">
              <w:r>
                <w:rPr>
                  <w:rStyle w:val="InternetLink"/>
                  <w:rFonts w:ascii="Lato;sans-serif" w:hAnsi="Lato;sans-serif"/>
                  <w:b w:val="false"/>
                  <w:color w:val="0000FF"/>
                  <w:sz w:val="20"/>
                  <w:u w:val="single"/>
                </w:rPr>
                <w:t>26</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Elements of Our Executive Compensation Program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97">
              <w:r>
                <w:rPr>
                  <w:rStyle w:val="InternetLink"/>
                  <w:rFonts w:ascii="Lato;sans-serif" w:hAnsi="Lato;sans-serif"/>
                  <w:b w:val="false"/>
                  <w:color w:val="0000FF"/>
                  <w:sz w:val="20"/>
                  <w:u w:val="single"/>
                </w:rPr>
                <w:t>27</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Pension and Non-qualified Deferred Compensation Plans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00">
              <w:r>
                <w:rPr>
                  <w:rStyle w:val="InternetLink"/>
                  <w:rFonts w:ascii="Lato;sans-serif" w:hAnsi="Lato;sans-serif"/>
                  <w:b w:val="false"/>
                  <w:color w:val="0000FF"/>
                  <w:sz w:val="20"/>
                  <w:u w:val="single"/>
                </w:rPr>
                <w:t>30</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Other Elements of 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03">
              <w:r>
                <w:rPr>
                  <w:rStyle w:val="InternetLink"/>
                  <w:rFonts w:ascii="Lato;sans-serif" w:hAnsi="Lato;sans-serif"/>
                  <w:b w:val="false"/>
                  <w:color w:val="0000FF"/>
                  <w:sz w:val="20"/>
                  <w:u w:val="single"/>
                </w:rPr>
                <w:t>30</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Policies on Clawback and Recovery of Compensation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06">
              <w:r>
                <w:rPr>
                  <w:rStyle w:val="InternetLink"/>
                  <w:rFonts w:ascii="Lato;sans-serif" w:hAnsi="Lato;sans-serif"/>
                  <w:b w:val="false"/>
                  <w:color w:val="0000FF"/>
                  <w:sz w:val="20"/>
                  <w:u w:val="single"/>
                </w:rPr>
                <w:t>31</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Compensation Committee Report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09">
              <w:r>
                <w:rPr>
                  <w:rStyle w:val="InternetLink"/>
                  <w:rFonts w:ascii="Lato;sans-serif" w:hAnsi="Lato;sans-serif"/>
                  <w:b w:val="false"/>
                  <w:color w:val="0000FF"/>
                  <w:sz w:val="20"/>
                  <w:u w:val="single"/>
                </w:rPr>
                <w:t>32</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12">
              <w:r>
                <w:rPr>
                  <w:rStyle w:val="InternetLink"/>
                  <w:rFonts w:ascii="Lato;sans-serif" w:hAnsi="Lato;sans-serif"/>
                  <w:b/>
                  <w:color w:val="0000FF"/>
                  <w:sz w:val="20"/>
                  <w:u w:val="single"/>
                </w:rPr>
                <w:t>Executive Compensation Tables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12">
              <w:r>
                <w:rPr>
                  <w:rStyle w:val="InternetLink"/>
                  <w:rFonts w:ascii="Lato;sans-serif" w:hAnsi="Lato;sans-serif"/>
                  <w:b w:val="false"/>
                  <w:color w:val="0000FF"/>
                  <w:sz w:val="20"/>
                  <w:u w:val="single"/>
                </w:rPr>
                <w:t>32</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Summary Compensation Table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15">
              <w:r>
                <w:rPr>
                  <w:rStyle w:val="InternetLink"/>
                  <w:rFonts w:ascii="Lato;sans-serif" w:hAnsi="Lato;sans-serif"/>
                  <w:b w:val="false"/>
                  <w:color w:val="0000FF"/>
                  <w:sz w:val="20"/>
                  <w:u w:val="single"/>
                </w:rPr>
                <w:t>33</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Grants of Plan-Based Awards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18">
              <w:r>
                <w:rPr>
                  <w:rStyle w:val="InternetLink"/>
                  <w:rFonts w:ascii="Lato;sans-serif" w:hAnsi="Lato;sans-serif"/>
                  <w:b w:val="false"/>
                  <w:color w:val="0000FF"/>
                  <w:sz w:val="20"/>
                  <w:u w:val="single"/>
                </w:rPr>
                <w:t>34</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Outstanding Equity Awards at Fiscal Year-End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21">
              <w:r>
                <w:rPr>
                  <w:rStyle w:val="InternetLink"/>
                  <w:rFonts w:ascii="Lato;sans-serif" w:hAnsi="Lato;sans-serif"/>
                  <w:b w:val="false"/>
                  <w:color w:val="0000FF"/>
                  <w:sz w:val="20"/>
                  <w:u w:val="single"/>
                </w:rPr>
                <w:t>34</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Option Exercises and Stock Vested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24">
              <w:r>
                <w:rPr>
                  <w:rStyle w:val="InternetLink"/>
                  <w:rFonts w:ascii="Lato;sans-serif" w:hAnsi="Lato;sans-serif"/>
                  <w:b w:val="false"/>
                  <w:color w:val="0000FF"/>
                  <w:sz w:val="20"/>
                  <w:u w:val="single"/>
                </w:rPr>
                <w:t>35</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Employment Agreements with the Named Executive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27">
              <w:r>
                <w:rPr>
                  <w:rStyle w:val="InternetLink"/>
                  <w:rFonts w:ascii="Lato;sans-serif" w:hAnsi="Lato;sans-serif"/>
                  <w:b w:val="false"/>
                  <w:color w:val="0000FF"/>
                  <w:sz w:val="20"/>
                  <w:u w:val="single"/>
                </w:rPr>
                <w:t>35</w:t>
              </w:r>
            </w:hyperlink>
          </w:p>
        </w:tc>
      </w:tr>
      <w:tr>
        <w:trPr/>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Potential Payments upon Termination or Change of Control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30">
              <w:r>
                <w:rPr>
                  <w:rStyle w:val="InternetLink"/>
                  <w:rFonts w:ascii="Lato;sans-serif" w:hAnsi="Lato;sans-serif"/>
                  <w:b w:val="false"/>
                  <w:color w:val="0000FF"/>
                  <w:sz w:val="20"/>
                  <w:u w:val="single"/>
                </w:rPr>
                <w:t>35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37845"/>
                <wp:effectExtent l="0" t="0" r="0" b="0"/>
                <wp:wrapNone/>
                <wp:docPr id="8" name="Frame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7921" w:type="dxa"/>
        <w:jc w:val="left"/>
        <w:tblInd w:w="0" w:type="dxa"/>
        <w:tblLayout w:type="fixed"/>
        <w:tblCellMar>
          <w:top w:w="28" w:type="dxa"/>
          <w:left w:w="28" w:type="dxa"/>
          <w:bottom w:w="28" w:type="dxa"/>
          <w:right w:w="28" w:type="dxa"/>
        </w:tblCellMar>
      </w:tblPr>
      <w:tblGrid>
        <w:gridCol w:w="2724"/>
        <w:gridCol w:w="2396"/>
        <w:gridCol w:w="2410"/>
        <w:gridCol w:w="114"/>
        <w:gridCol w:w="114"/>
        <w:gridCol w:w="163"/>
      </w:tblGrid>
      <w:tr>
        <w:trPr/>
        <w:tc>
          <w:tcPr>
            <w:tcW w:w="272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33">
              <w:r>
                <w:rPr>
                  <w:rStyle w:val="InternetLink"/>
                  <w:rFonts w:ascii="Lato;sans-serif" w:hAnsi="Lato;sans-serif"/>
                  <w:b/>
                  <w:color w:val="0000FF"/>
                  <w:sz w:val="20"/>
                  <w:u w:val="single"/>
                </w:rPr>
                <w:t>CEO Pay Ratio</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33">
              <w:r>
                <w:rPr>
                  <w:rStyle w:val="InternetLink"/>
                  <w:rFonts w:ascii="Lato;sans-serif" w:hAnsi="Lato;sans-serif"/>
                  <w:b w:val="false"/>
                  <w:color w:val="0000FF"/>
                  <w:sz w:val="20"/>
                  <w:u w:val="single"/>
                </w:rPr>
                <w:t>37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36">
              <w:r>
                <w:rPr>
                  <w:rStyle w:val="InternetLink"/>
                  <w:rFonts w:ascii="Lato;sans-serif" w:hAnsi="Lato;sans-serif"/>
                  <w:b/>
                  <w:color w:val="0000FF"/>
                  <w:sz w:val="20"/>
                  <w:u w:val="single"/>
                </w:rPr>
                <w:t>Pay Versus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36">
              <w:r>
                <w:rPr>
                  <w:rStyle w:val="InternetLink"/>
                  <w:rFonts w:ascii="Lato;sans-serif" w:hAnsi="Lato;sans-serif"/>
                  <w:b w:val="false"/>
                  <w:color w:val="0000FF"/>
                  <w:sz w:val="20"/>
                  <w:u w:val="single"/>
                </w:rPr>
                <w:t>37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39">
              <w:r>
                <w:rPr>
                  <w:rStyle w:val="InternetLink"/>
                  <w:rFonts w:ascii="Lato;sans-serif" w:hAnsi="Lato;sans-serif"/>
                  <w:b/>
                  <w:color w:val="0000FF"/>
                  <w:sz w:val="20"/>
                  <w:u w:val="single"/>
                </w:rPr>
                <w:t>Equity Compensation Plan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39">
              <w:r>
                <w:rPr>
                  <w:rStyle w:val="InternetLink"/>
                  <w:rFonts w:ascii="Lato;sans-serif" w:hAnsi="Lato;sans-serif"/>
                  <w:b w:val="false"/>
                  <w:color w:val="0000FF"/>
                  <w:sz w:val="20"/>
                  <w:u w:val="single"/>
                </w:rPr>
                <w:t>42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42">
              <w:r>
                <w:rPr>
                  <w:rStyle w:val="InternetLink"/>
                  <w:rFonts w:ascii="Lato;sans-serif" w:hAnsi="Lato;sans-serif"/>
                  <w:b/>
                  <w:color w:val="0000FF"/>
                  <w:sz w:val="20"/>
                  <w:u w:val="single"/>
                </w:rPr>
                <w:t xml:space="preserve">Security Ownership of Certain Beneficial Owners and Management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42">
              <w:r>
                <w:rPr>
                  <w:rStyle w:val="InternetLink"/>
                  <w:rFonts w:ascii="Lato;sans-serif" w:hAnsi="Lato;sans-serif"/>
                  <w:b w:val="false"/>
                  <w:color w:val="0000FF"/>
                  <w:sz w:val="20"/>
                  <w:u w:val="single"/>
                </w:rPr>
                <w:t>43</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45">
              <w:r>
                <w:rPr>
                  <w:rStyle w:val="InternetLink"/>
                  <w:rFonts w:ascii="Lato;sans-serif" w:hAnsi="Lato;sans-serif"/>
                  <w:b/>
                  <w:color w:val="0000FF"/>
                  <w:sz w:val="20"/>
                  <w:u w:val="single"/>
                </w:rPr>
                <w:t>Delinquent Section 16(A)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45">
              <w:r>
                <w:rPr>
                  <w:rStyle w:val="InternetLink"/>
                  <w:rFonts w:ascii="Lato;sans-serif" w:hAnsi="Lato;sans-serif"/>
                  <w:b w:val="false"/>
                  <w:color w:val="0000FF"/>
                  <w:sz w:val="20"/>
                  <w:u w:val="single"/>
                </w:rPr>
                <w:t>46</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48">
              <w:r>
                <w:rPr>
                  <w:rStyle w:val="InternetLink"/>
                  <w:rFonts w:ascii="Lato;sans-serif" w:hAnsi="Lato;sans-serif"/>
                  <w:b/>
                  <w:color w:val="0000FF"/>
                  <w:sz w:val="20"/>
                  <w:u w:val="single"/>
                </w:rPr>
                <w:t>Certain Relationships and Related-Party and Other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48">
              <w:r>
                <w:rPr>
                  <w:rStyle w:val="InternetLink"/>
                  <w:rFonts w:ascii="Lato;sans-serif" w:hAnsi="Lato;sans-serif"/>
                  <w:b w:val="false"/>
                  <w:color w:val="0000FF"/>
                  <w:sz w:val="20"/>
                  <w:u w:val="single"/>
                </w:rPr>
                <w:t>47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51">
              <w:r>
                <w:rPr>
                  <w:rStyle w:val="InternetLink"/>
                  <w:rFonts w:ascii="Lato;sans-serif" w:hAnsi="Lato;sans-serif"/>
                  <w:b/>
                  <w:color w:val="0000FF"/>
                  <w:sz w:val="20"/>
                  <w:u w:val="single"/>
                </w:rPr>
                <w:t>Availability of Annual Report on Form 10-K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51">
              <w:r>
                <w:rPr>
                  <w:rStyle w:val="InternetLink"/>
                  <w:rFonts w:ascii="Lato;sans-serif" w:hAnsi="Lato;sans-serif"/>
                  <w:b w:val="false"/>
                  <w:color w:val="0000FF"/>
                  <w:sz w:val="20"/>
                  <w:u w:val="single"/>
                </w:rPr>
                <w:t>49</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54">
              <w:r>
                <w:rPr>
                  <w:rStyle w:val="InternetLink"/>
                  <w:rFonts w:ascii="Lato;sans-serif" w:hAnsi="Lato;sans-serif"/>
                  <w:b/>
                  <w:color w:val="0000FF"/>
                  <w:sz w:val="20"/>
                  <w:u w:val="single"/>
                </w:rPr>
                <w:t>Questions and Answers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54">
              <w:r>
                <w:rPr>
                  <w:rStyle w:val="InternetLink"/>
                  <w:rFonts w:ascii="Lato;sans-serif" w:hAnsi="Lato;sans-serif"/>
                  <w:b w:val="false"/>
                  <w:color w:val="0000FF"/>
                  <w:sz w:val="20"/>
                  <w:u w:val="single"/>
                </w:rPr>
                <w:t>50</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d8f8e392484661bb75e34afb25d972_157">
              <w:r>
                <w:rPr>
                  <w:rStyle w:val="InternetLink"/>
                  <w:rFonts w:ascii="Lato;sans-serif" w:hAnsi="Lato;sans-serif"/>
                  <w:b/>
                  <w:color w:val="0000FF"/>
                  <w:sz w:val="20"/>
                  <w:u w:val="single"/>
                </w:rPr>
                <w:t>Additional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d8f8e392484661bb75e34afb25d972_157">
              <w:r>
                <w:rPr>
                  <w:rStyle w:val="InternetLink"/>
                  <w:rFonts w:ascii="Lato;sans-serif" w:hAnsi="Lato;sans-serif"/>
                  <w:b w:val="false"/>
                  <w:color w:val="0000FF"/>
                  <w:sz w:val="20"/>
                  <w:u w:val="single"/>
                </w:rPr>
                <w:t>56</w:t>
              </w:r>
            </w:hyperlink>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37845"/>
                <wp:effectExtent l="0" t="0" r="0" b="0"/>
                <wp:wrapNone/>
                <wp:docPr id="9" name="Frame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0" w:after="160"/>
        <w:jc w:val="center"/>
        <w:rPr>
          <w:rFonts w:ascii="Lato;sans-serif" w:hAnsi="Lato;sans-serif"/>
          <w:b/>
          <w:color w:val="0070C0"/>
          <w:sz w:val="40"/>
        </w:rPr>
      </w:pPr>
      <w:r>
        <w:rPr>
          <w:rFonts w:ascii="Lato;sans-serif" w:hAnsi="Lato;sans-serif"/>
          <w:b/>
          <w:color w:val="0070C0"/>
          <w:sz w:val="40"/>
        </w:rPr>
        <w:t>PROPOSAL 1</w:t>
      </w:r>
    </w:p>
    <w:p>
      <w:pPr>
        <w:pStyle w:val="TextBody"/>
        <w:bidi w:val="0"/>
        <w:spacing w:lineRule="auto" w:line="240" w:before="0" w:after="160"/>
        <w:jc w:val="center"/>
        <w:rPr>
          <w:rFonts w:ascii="Lato;sans-serif" w:hAnsi="Lato;sans-serif"/>
          <w:b/>
          <w:color w:val="0070C0"/>
          <w:sz w:val="40"/>
        </w:rPr>
      </w:pPr>
      <w:r>
        <w:rPr>
          <w:rFonts w:ascii="Lato;sans-serif" w:hAnsi="Lato;sans-serif"/>
          <w:b/>
          <w:color w:val="0070C0"/>
          <w:sz w:val="40"/>
        </w:rPr>
        <w:t>RATIFICATION OF APPOINTMENT OF INDEPENDENT AUDITOR</w:t>
      </w:r>
    </w:p>
    <w:p>
      <w:pPr>
        <w:pStyle w:val="TextBody"/>
        <w:bidi w:val="0"/>
        <w:spacing w:lineRule="auto" w:line="362" w:before="260" w:after="260"/>
        <w:jc w:val="left"/>
        <w:rPr>
          <w:rFonts w:ascii="Lato;sans-serif" w:hAnsi="Lato;sans-serif"/>
          <w:b/>
          <w:color w:val="005CB9"/>
          <w:sz w:val="32"/>
        </w:rPr>
      </w:pPr>
      <w:r>
        <w:rPr>
          <w:rFonts w:ascii="Lato;sans-serif" w:hAnsi="Lato;sans-serif"/>
          <w:b/>
          <w:color w:val="005CB9"/>
          <w:sz w:val="32"/>
        </w:rPr>
        <w:t>Description of the Proposal</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Audit Committee is directly responsible for the appointment, compensation, retention and oversight of the independent registered public accounting firm retained to audit our consolidated financial statements. Our Audit Committee has selected Grant Thornton LLP (“Grant Thornton”), an independent registered public accounting firm, as our independent auditor for the fiscal year ending December 31, 2026. Grant Thornton has served as our independent auditor since March 2026. Our Audit Committee believes at this time that the continued retention of Grant Thornton to serve as our independent auditor is in the best interest of our company and our shareholders. As previously disclosed, the Company dismissed KPMG Huazhen LLP (“KPMG”) as the Company’s independent registered public accounting firm effective as of March 2, 2026, and engaged Grant Thornton to serve as the independent registered public accounting firm for the Company. KPMG was responsible for auditing our annual consolidated financial statements filed with the SEC and had audited our financial statements with the SEC for the three fiscal years ended December 31, 2025.</w:t>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Changes in Company’s Independent Registered Public Accounting Firm</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On March 2, 2026, the Audit Committee approved the dismissal of KPMG as the Company’s independent registered public accounting firm effective immediately.</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KPMG’s audit reports on the Company’s consolidated financial statements as of and for the fiscal years ended December 31, 2025 and 2024, did not contain any adverse opinion or disclaimer of opinion and were not qualified or modified as to uncertainty, audit scope or accounting principle.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During the fiscal years ended December 31, 2025 and 2024, and the subsequent interim period through March 2, 2026, the date of KPMG’s dismissal, there were (i) no disagreements (as that term is defined in Item 304(a)(1)(iv) of Regulation S-K and the related instructions) between the Company and KPMG on any matter of accounting principles or practices, financial statement disclosure, or auditing scope or procedures, that, if not resolved to the satisfaction of KPMG would have caused KPMG to make reference to the subject matter of the disagreement in connection with its reports on the Company’s consolidated financial statements for such years, or (ii) no “reportable events” (as that term is defined in Item 304(a)(1)(v) of Regulation S-K).</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Company provided KPMG with a copy of its Current Report on Form 8-K (“Form 8-K”) filed on March 3, 2026 and requested that KPMG furnish the Company with a letter addressed to the U.S. Securities and Exchange Commission stating whether or not KPMG agrees with the statements made therein. A copy of KPMG’s letter, dated March 3, 2026, was filed as Exhibit 16.1 to such report.</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On March 2, 2026, upon recommendation of our board of directors, our Audit Committee has appointed Grant Thornton, an independent registered public accounting firm, as our independent auditor for the fiscal year ending December 31, 2026. </w:t>
      </w:r>
    </w:p>
    <w:p>
      <w:pPr>
        <w:pStyle w:val="TextBody"/>
        <w:bidi w:val="0"/>
        <w:spacing w:lineRule="auto" w:line="360" w:before="0" w:after="0"/>
        <w:jc w:val="left"/>
        <w:rPr>
          <w:rFonts w:ascii="Lato;sans-serif" w:hAnsi="Lato;sans-serif"/>
          <w:b w:val="false"/>
          <w:color w:val="000000"/>
          <w:sz w:val="20"/>
        </w:rPr>
      </w:pPr>
      <w:r>
        <w:rPr>
          <w:rFonts w:ascii="Lato;sans-serif" w:hAnsi="Lato;sans-serif"/>
          <w:b w:val="false"/>
          <w:color w:val="000000"/>
          <w:sz w:val="20"/>
        </w:rPr>
        <w:t xml:space="preserve">During the fiscal years ended December 31, 2025 and 2024, and the subsequent interim period through March 2, 2026, neither the Company, nor any party on its behalf, consulted with Grant Thornton with respect to (i) the application of accounting principles to a specified transaction, either completed or proposed,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37845"/>
                <wp:effectExtent l="0" t="0" r="0" b="0"/>
                <wp:wrapNone/>
                <wp:docPr id="10" name="Frame7"/>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0" w:before="0" w:after="0"/>
        <w:jc w:val="left"/>
        <w:rPr/>
      </w:pPr>
      <w:r>
        <w:rPr>
          <w:rFonts w:ascii="Lato;sans-serif" w:hAnsi="Lato;sans-serif"/>
          <w:b w:val="false"/>
          <w:color w:val="000000"/>
          <w:sz w:val="20"/>
        </w:rPr>
        <w:t>type of the audit opinion that might be rendered with respect to the Company’s financial statements, and no written report or oral advice was provided to the Company by Grant Thornton that Grant Thornton concluded was an important factor considered by the Company in reaching a decision as to any accounting, auditing or financial reporting issue, or (ii) any matter that was the subject to any disagreement (as that term is defined in Item 304(a)(1)(iv) of Regulation S-K and the related instructions) or any reportable event (as that term is defined in Item 304(a)(1)(v) of Regulation S-K).</w:t>
      </w:r>
      <w:r>
        <w:rPr>
          <w:color w:val="000000"/>
        </w:rPr>
        <w:t xml:space="preserve">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Although shareholder approval of the selection of Grant Thornton by our Audit Committee and our board of directors is not required, our board of directors believes that it is a matter of good corporate practice to solicit shareholder ratification of this selection. Our board of directors recommends that shareholders vote for approval and ratification of this appointment. If this Proposal 1 is not approved at the Annual Meeting, our board of directors will reconsider its appointment. Even if the selection is ratified, our Audit Committee has the ability to change the engagement of Grant Thornton if it considers that a change is in our company’s best interest.</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We expect representatives of Grant Thornton to be available at the Annual Meeting virtually. They will have the opportunity to make a statement if they desire to do so, and will be available to respond to appropriate questions.</w:t>
      </w:r>
    </w:p>
    <w:p>
      <w:pPr>
        <w:pStyle w:val="TextBody"/>
        <w:bidi w:val="0"/>
        <w:spacing w:before="260" w:after="2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37845"/>
                <wp:effectExtent l="0" t="0" r="0" b="0"/>
                <wp:wrapNone/>
                <wp:docPr id="11" name="Frame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51" w:type="dxa"/>
                        <w:jc w:val="left"/>
                        <w:tblInd w:w="0" w:type="dxa"/>
                        <w:tblLayout w:type="fixed"/>
                        <w:tblCellMar>
                          <w:top w:w="28" w:type="dxa"/>
                          <w:left w:w="28" w:type="dxa"/>
                          <w:bottom w:w="28" w:type="dxa"/>
                          <w:right w:w="28" w:type="dxa"/>
                        </w:tblCellMar>
                      </w:tblPr>
                      <w:tblGrid>
                        <w:gridCol w:w="124"/>
                        <w:gridCol w:w="109"/>
                        <w:gridCol w:w="109"/>
                        <w:gridCol w:w="764"/>
                        <w:gridCol w:w="764"/>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482" w:before="260" w:after="260"/>
        <w:jc w:val="left"/>
        <w:rPr>
          <w:rFonts w:ascii="Lato;sans-serif" w:hAnsi="Lato;sans-serif"/>
          <w:b/>
          <w:color w:val="005CB9"/>
          <w:sz w:val="32"/>
        </w:rPr>
      </w:pPr>
      <w:r>
        <w:rPr>
          <w:rFonts w:ascii="Lato;sans-serif" w:hAnsi="Lato;sans-serif"/>
          <w:b/>
          <w:color w:val="005CB9"/>
          <w:sz w:val="32"/>
        </w:rPr>
        <w:t>Independent Registered Public Accounting Firms Fees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The following table sets forth the aggregate fees by categories specified below in connection with certain professional services rendered by KPMG, the independent registered public accounting firm and our previous independent auditor, for the periods indicated. We did not pay any other fees to the independent registered public accounting firm during the periods indicated below. </w:t>
      </w:r>
    </w:p>
    <w:tbl>
      <w:tblPr>
        <w:tblW w:w="5874" w:type="dxa"/>
        <w:jc w:val="left"/>
        <w:tblInd w:w="0" w:type="dxa"/>
        <w:tblLayout w:type="fixed"/>
        <w:tblCellMar>
          <w:top w:w="28" w:type="dxa"/>
          <w:left w:w="28" w:type="dxa"/>
          <w:bottom w:w="28" w:type="dxa"/>
          <w:right w:w="28" w:type="dxa"/>
        </w:tblCellMar>
      </w:tblPr>
      <w:tblGrid>
        <w:gridCol w:w="709"/>
        <w:gridCol w:w="623"/>
        <w:gridCol w:w="632"/>
        <w:gridCol w:w="332"/>
        <w:gridCol w:w="1037"/>
        <w:gridCol w:w="160"/>
        <w:gridCol w:w="160"/>
        <w:gridCol w:w="160"/>
        <w:gridCol w:w="160"/>
        <w:gridCol w:w="332"/>
        <w:gridCol w:w="1037"/>
        <w:gridCol w:w="160"/>
        <w:gridCol w:w="109"/>
        <w:gridCol w:w="109"/>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40" w:before="40" w:after="283"/>
              <w:jc w:val="center"/>
              <w:rPr>
                <w:rFonts w:ascii="Lato;sans-serif" w:hAnsi="Lato;sans-serif"/>
                <w:b/>
                <w:color w:val="000000"/>
                <w:sz w:val="18"/>
              </w:rPr>
            </w:pPr>
            <w:r>
              <w:rPr>
                <w:rFonts w:ascii="Lato;sans-serif" w:hAnsi="Lato;sans-serif"/>
                <w:b/>
                <w:color w:val="000000"/>
                <w:sz w:val="18"/>
              </w:rPr>
              <w:t>For the 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8"/>
              </w:rPr>
            </w:pPr>
            <w:r>
              <w:rPr>
                <w:rFonts w:ascii="Lato;sans-serif" w:hAnsi="Lato;sans-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40" w:before="60" w:after="283"/>
              <w:jc w:val="center"/>
              <w:rPr>
                <w:rFonts w:ascii="Lato;sans-serif" w:hAnsi="Lato;sans-serif"/>
                <w:b w:val="false"/>
                <w:color w:val="000000"/>
                <w:sz w:val="18"/>
              </w:rPr>
            </w:pPr>
            <w:r>
              <w:rPr>
                <w:rFonts w:ascii="Lato;sans-serif" w:hAnsi="Lato;sans-serif"/>
                <w:b w:val="false"/>
                <w:color w:val="000000"/>
                <w:sz w:val="18"/>
              </w:rPr>
              <w:t>($ 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60" w:after="60"/>
              <w:jc w:val="left"/>
              <w:rPr/>
            </w:pPr>
            <w:r>
              <w:rPr>
                <w:rFonts w:ascii="Lato;sans-serif" w:hAnsi="Lato;sans-serif"/>
                <w:b w:val="false"/>
                <w:color w:val="000000"/>
                <w:sz w:val="18"/>
              </w:rPr>
              <w:t>Audit fees</w:t>
            </w:r>
            <w:r>
              <w:rPr>
                <w:rFonts w:ascii="Lato;sans-serif" w:hAnsi="Lato;sans-serif"/>
                <w:b w:val="false"/>
                <w:color w:val="000000"/>
                <w:sz w:val="12"/>
              </w:rPr>
              <w:t>(1)</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60" w:after="60"/>
              <w:jc w:val="left"/>
              <w:rPr/>
            </w:pPr>
            <w:r>
              <w:rPr>
                <w:rFonts w:ascii="Lato;sans-serif" w:hAnsi="Lato;sans-serif"/>
                <w:b w:val="false"/>
                <w:color w:val="000000"/>
                <w:sz w:val="18"/>
              </w:rPr>
              <w:t>Audit-Related Fees</w:t>
            </w:r>
            <w:r>
              <w:rPr>
                <w:rFonts w:ascii="Lato;sans-serif" w:hAnsi="Lato;sans-serif"/>
                <w:b w:val="false"/>
                <w:color w:val="000000"/>
                <w:sz w:val="12"/>
              </w:rPr>
              <w:t>(2)</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60" w:after="60"/>
              <w:jc w:val="left"/>
              <w:rPr/>
            </w:pPr>
            <w:r>
              <w:rPr>
                <w:rFonts w:ascii="Lato;sans-serif" w:hAnsi="Lato;sans-serif"/>
                <w:b w:val="false"/>
                <w:color w:val="000000"/>
                <w:sz w:val="18"/>
              </w:rPr>
              <w:t>Tax fees</w:t>
            </w:r>
            <w:r>
              <w:rPr>
                <w:rFonts w:ascii="Lato;sans-serif" w:hAnsi="Lato;sans-serif"/>
                <w:b w:val="false"/>
                <w:color w:val="000000"/>
                <w:sz w:val="12"/>
              </w:rPr>
              <w:t>(3)</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2"/>
              </w:rPr>
            </w:pPr>
            <w:r>
              <w:rPr>
                <w:rFonts w:ascii="Lato;sans-serif" w:hAnsi="Lato;sans-serif"/>
                <w:b w:val="false"/>
                <w:color w:val="000000"/>
                <w:sz w:val="12"/>
              </w:rPr>
              <w:t>(4)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60" w:after="60"/>
              <w:jc w:val="left"/>
              <w:rPr/>
            </w:pPr>
            <w:r>
              <w:rPr>
                <w:rFonts w:ascii="Lato;sans-serif" w:hAnsi="Lato;sans-serif"/>
                <w:b w:val="false"/>
                <w:color w:val="000000"/>
                <w:sz w:val="18"/>
              </w:rPr>
              <w:t>Other fees</w:t>
            </w:r>
            <w:r>
              <w:rPr>
                <w:rFonts w:ascii="Lato;sans-serif" w:hAnsi="Lato;sans-serif"/>
                <w:b w:val="false"/>
                <w:color w:val="000000"/>
                <w:sz w:val="12"/>
              </w:rPr>
              <w:t>(5)</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_____________________</w:t>
      </w:r>
    </w:p>
    <w:p>
      <w:pPr>
        <w:pStyle w:val="TextBody"/>
        <w:bidi w:val="0"/>
        <w:spacing w:lineRule="auto" w:line="288" w:before="0" w:after="160"/>
        <w:ind w:left="0" w:right="0" w:hanging="540"/>
        <w:jc w:val="left"/>
        <w:rPr/>
      </w:pPr>
      <w:r>
        <w:rPr>
          <w:rFonts w:ascii="Lato;sans-serif" w:hAnsi="Lato;sans-serif"/>
          <w:b w:val="false"/>
          <w:color w:val="000000"/>
          <w:sz w:val="16"/>
        </w:rPr>
        <w:t>(1)</w:t>
      </w:r>
      <w:r>
        <w:rPr>
          <w:color w:val="000000"/>
        </w:rPr>
        <w:t>“</w:t>
      </w:r>
      <w:r>
        <w:rPr>
          <w:rFonts w:ascii="Lato;sans-serif" w:hAnsi="Lato;sans-serif"/>
          <w:b w:val="false"/>
          <w:color w:val="000000"/>
          <w:sz w:val="16"/>
        </w:rPr>
        <w:t>Audit fees” means the aggregate fees billed or expected to be billed for each of the fiscal years listed for professional services rendered by our auditor for the audit of our annual financial statements, issue of comfort letters in connection with our registration statements, prospectuses and offering memoranda, assistance with and review of documents filed with the SEC and other statutory and regulatory filings.</w:t>
      </w:r>
    </w:p>
    <w:p>
      <w:pPr>
        <w:pStyle w:val="TextBody"/>
        <w:bidi w:val="0"/>
        <w:spacing w:lineRule="auto" w:line="288" w:before="0" w:after="160"/>
        <w:ind w:left="0" w:right="0" w:hanging="540"/>
        <w:jc w:val="left"/>
        <w:rPr/>
      </w:pPr>
      <w:r>
        <w:rPr>
          <w:rFonts w:ascii="Lato;sans-serif" w:hAnsi="Lato;sans-serif"/>
          <w:b w:val="false"/>
          <w:color w:val="000000"/>
          <w:sz w:val="16"/>
        </w:rPr>
        <w:t>(2)</w:t>
      </w:r>
      <w:r>
        <w:rPr>
          <w:color w:val="000000"/>
        </w:rPr>
        <w:t>“</w:t>
      </w:r>
      <w:r>
        <w:rPr>
          <w:rFonts w:ascii="Lato;sans-serif" w:hAnsi="Lato;sans-serif"/>
          <w:b w:val="false"/>
          <w:color w:val="000000"/>
          <w:sz w:val="16"/>
        </w:rPr>
        <w:t>Audit-related fees” means the aggregate fees billed for assurance and related services by the principal accountant that are reasonably related to the performance of the audit or review of the registrant's financial statements and are not reported as “audit fees” above.</w:t>
      </w:r>
    </w:p>
    <w:p>
      <w:pPr>
        <w:pStyle w:val="TextBody"/>
        <w:bidi w:val="0"/>
        <w:spacing w:lineRule="auto" w:line="288" w:before="0" w:after="160"/>
        <w:ind w:left="0" w:right="0" w:hanging="540"/>
        <w:jc w:val="left"/>
        <w:rPr/>
      </w:pPr>
      <w:r>
        <w:rPr>
          <w:rFonts w:ascii="Lato;sans-serif" w:hAnsi="Lato;sans-serif"/>
          <w:b w:val="false"/>
          <w:color w:val="000000"/>
          <w:sz w:val="16"/>
        </w:rPr>
        <w:t>(3)</w:t>
      </w:r>
      <w:r>
        <w:rPr>
          <w:color w:val="000000"/>
        </w:rPr>
        <w:t>“</w:t>
      </w:r>
      <w:r>
        <w:rPr>
          <w:rFonts w:ascii="Lato;sans-serif" w:hAnsi="Lato;sans-serif"/>
          <w:b w:val="false"/>
          <w:color w:val="000000"/>
          <w:sz w:val="16"/>
        </w:rPr>
        <w:t>Tax fees” means the aggregate fees billed for the tax services provided.</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(4)Represents $131,700 plus RMB56,000, translated from Renminbi to U.S. dollars made at a rate of RMB7.2993 to $1.00, being the noon buying exchange rate in effect as of December 31, 2025 as set forth in the H.10 statistical release of The Board of Governors of the Federal Reserve System.</w:t>
      </w:r>
    </w:p>
    <w:p>
      <w:pPr>
        <w:pStyle w:val="TextBody"/>
        <w:bidi w:val="0"/>
        <w:spacing w:lineRule="auto" w:line="288" w:before="0" w:after="160"/>
        <w:ind w:left="0" w:right="0" w:hanging="540"/>
        <w:jc w:val="left"/>
        <w:rPr/>
      </w:pPr>
      <w:r>
        <w:rPr>
          <w:rFonts w:ascii="Lato;sans-serif" w:hAnsi="Lato;sans-serif"/>
          <w:b w:val="false"/>
          <w:color w:val="000000"/>
          <w:sz w:val="16"/>
        </w:rPr>
        <w:t>(5)</w:t>
      </w:r>
      <w:r>
        <w:rPr>
          <w:color w:val="000000"/>
        </w:rPr>
        <w:t>“</w:t>
      </w:r>
      <w:r>
        <w:rPr>
          <w:rFonts w:ascii="Lato;sans-serif" w:hAnsi="Lato;sans-serif"/>
          <w:b w:val="false"/>
          <w:color w:val="000000"/>
          <w:sz w:val="16"/>
        </w:rPr>
        <w:t xml:space="preserve">Other fees” means the aggregate fees billed for non audit-related, tax and financial due diligence services with respect to our acquisitions. </w:t>
      </w:r>
    </w:p>
    <w:p>
      <w:pPr>
        <w:pStyle w:val="TextBody"/>
        <w:bidi w:val="0"/>
        <w:spacing w:lineRule="auto" w:line="362" w:before="160" w:after="40"/>
        <w:jc w:val="both"/>
        <w:rPr>
          <w:rFonts w:ascii="Lato;sans-serif" w:hAnsi="Lato;sans-serif"/>
          <w:b/>
          <w:color w:val="005CB9"/>
          <w:sz w:val="32"/>
        </w:rPr>
      </w:pPr>
      <w:r>
        <w:rPr>
          <w:rFonts w:ascii="Lato;sans-serif" w:hAnsi="Lato;sans-serif"/>
          <w:b/>
          <w:color w:val="005CB9"/>
          <w:sz w:val="32"/>
        </w:rPr>
        <w:t>Pre-Approval Policies and Procedures</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The policy of our Audit Committee is to pre-approve all audit and non-audit services provided by the independent registered public accounting firm and our independent auditor, including audit services, audit-related services, tax services and other services as described above. Our Audit Committee evaluated and approved in advance the scope and cost of the engagement of an auditor before the auditor rendered its audit and non-audit services. Pre-approval fee levels or budgeted amounts for all services to be provided by our independent auditor may be established annually by the Audit Committee. For each fiscal year, our Audit Committee may determine the appropriate ratio between the total amount of fees for audit, audit-related and tax services, and the total amount of fees for services classified as all other services. Our Audit Committee may delegate either type of pre-approval authority to one or more of its members. The member to whom such authority is delegated must report, for informational purposes only, any pre-approval decisions to our Audit Committee at its next scheduled meeting. All of the fees described in the table above were pre-approved by our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37845"/>
                <wp:effectExtent l="0" t="0" r="0" b="0"/>
                <wp:wrapNone/>
                <wp:docPr id="12" name="Frame9"/>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21" w:type="dxa"/>
                        <w:jc w:val="left"/>
                        <w:tblInd w:w="0" w:type="dxa"/>
                        <w:tblLayout w:type="fixed"/>
                        <w:tblCellMar>
                          <w:top w:w="28" w:type="dxa"/>
                          <w:left w:w="28" w:type="dxa"/>
                          <w:bottom w:w="28" w:type="dxa"/>
                          <w:right w:w="28" w:type="dxa"/>
                        </w:tblCellMar>
                      </w:tblPr>
                      <w:tblGrid>
                        <w:gridCol w:w="706"/>
                        <w:gridCol w:w="620"/>
                        <w:gridCol w:w="623"/>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40"/>
        <w:jc w:val="both"/>
        <w:rPr>
          <w:rFonts w:ascii="Lato;sans-serif" w:hAnsi="Lato;sans-serif"/>
          <w:b/>
          <w:color w:val="005CB9"/>
          <w:sz w:val="32"/>
        </w:rPr>
      </w:pPr>
      <w:r>
        <w:rPr>
          <w:rFonts w:ascii="Lato;sans-serif" w:hAnsi="Lato;sans-serif"/>
          <w:b/>
          <w:color w:val="005CB9"/>
          <w:sz w:val="32"/>
        </w:rPr>
        <w:t>Vote Required and Board of Directors’ Recommendation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Approval of Proposal 1 will be as an ordinary resolution, which requires the affirmative vote of a simple majority of the votes cast by our shareholders entitled to vote who are present virtually or by proxy at the Annual Meeting. Broker non-votes and abstentions with respect to Proposal 1 will not be treated as votes cast for this purpose and, therefore, will not affect the outcome of the vote. We expect that there will be no broker non-votes on this Proposal 1 due to the discretionary authority granted to brokerage firms, banks and other financial institutions. </w:t>
      </w:r>
    </w:p>
    <w:p>
      <w:pPr>
        <w:pStyle w:val="TextBody"/>
        <w:bidi w:val="0"/>
        <w:spacing w:lineRule="auto" w:line="288" w:before="120" w:after="283"/>
        <w:jc w:val="left"/>
        <w:rPr/>
      </w:pPr>
      <w:r>
        <w:rPr>
          <w:rFonts w:ascii="Lato;sans-serif" w:hAnsi="Lato;sans-serif"/>
          <w:b/>
          <w:color w:val="000000"/>
          <w:sz w:val="20"/>
          <w:shd w:fill="FFFFFF" w:val="clear"/>
        </w:rPr>
        <w:t xml:space="preserve">OUR BOARD OF DIRECTORS UNANIMOUSLY RECOMMENDS A VOTE “FOR” THE RATIFICATION OF THE APPOINTMENT OF </w:t>
      </w:r>
      <w:r>
        <w:rPr>
          <w:rFonts w:ascii="Lato;sans-serif" w:hAnsi="Lato;sans-serif"/>
          <w:b/>
          <w:color w:val="000000"/>
          <w:sz w:val="20"/>
        </w:rPr>
        <w:t>GRANT THORNTON LLP</w:t>
      </w:r>
      <w:r>
        <w:rPr>
          <w:color w:val="000000"/>
          <w:shd w:fill="FFFFFF" w:val="clear"/>
        </w:rPr>
        <w:t xml:space="preserve"> </w:t>
      </w:r>
      <w:r>
        <w:rPr>
          <w:rFonts w:ascii="Lato;sans-serif" w:hAnsi="Lato;sans-serif"/>
          <w:b/>
          <w:color w:val="000000"/>
          <w:sz w:val="20"/>
          <w:shd w:fill="FFFFFF" w:val="clear"/>
        </w:rPr>
        <w:t xml:space="preserve">AS OUR INDEPENDENT AUDITOR FOR THE FISCAL YEAR ENDING </w:t>
      </w:r>
      <w:r>
        <w:rPr>
          <w:rFonts w:ascii="Lato;sans-serif" w:hAnsi="Lato;sans-serif"/>
          <w:b/>
          <w:color w:val="000000"/>
          <w:sz w:val="20"/>
        </w:rPr>
        <w:t>DECEMBER 31, 2026</w:t>
      </w:r>
      <w:r>
        <w:rPr>
          <w:rFonts w:ascii="Lato;sans-serif" w:hAnsi="Lato;sans-serif"/>
          <w:b/>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37845"/>
                <wp:effectExtent l="0" t="0" r="0" b="0"/>
                <wp:wrapNone/>
                <wp:docPr id="13" name="Frame1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340" w:after="330"/>
        <w:jc w:val="center"/>
        <w:rPr>
          <w:rFonts w:ascii="Lato;sans-serif" w:hAnsi="Lato;sans-serif"/>
          <w:b/>
          <w:color w:val="0070C0"/>
          <w:sz w:val="52"/>
        </w:rPr>
      </w:pPr>
      <w:r>
        <w:rPr>
          <w:rFonts w:ascii="Lato;sans-serif" w:hAnsi="Lato;sans-serif"/>
          <w:b/>
          <w:color w:val="0070C0"/>
          <w:sz w:val="52"/>
        </w:rPr>
        <w:t>Information About Our Board of Directors</w:t>
      </w: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Election of Directors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board of directors currently consists of five members. Our memorandum and articles of association provide that unless otherwise determined by our company in general meeting, the number of directors shall not be less than three directors, with the exact number of directors to be determined from time to time by our board of directors. We are not subject to any contractual obligations regarding the election of our directors. Our Nominating and Corporate Governance Committee and board of directors may consider a broad range of factors relating to the qualifications and background of nominees. See “Corporate Governance—Board Qualifications” and “Corporate Governance—Director Nominations.”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The laws of the Cayman Islands and our memorandum and articles of association do not require an annual election of directors.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Our memorandum and articles of association provide that our shareholders may appoint any person to be a director by means of an ordinary resolution, whilst our board of directors may appoint any person to be a director, either to fill a casual vacancy or as an addition to the existing board. Additionally, if a director is removed from office by an ordinary resolution of our shareholders, the vacancy so created may be filled by an ordinary resolution of our shareholders, or by the affirmative vote of a simple majority of the remaining directors present and voting at a board meeting.</w:t>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Our Board of Directors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The following table sets forth information regarding our directors as of the date of this proxy statement.</w:t>
      </w:r>
    </w:p>
    <w:tbl>
      <w:tblPr>
        <w:tblW w:w="9414" w:type="dxa"/>
        <w:jc w:val="left"/>
        <w:tblInd w:w="0" w:type="dxa"/>
        <w:tblLayout w:type="fixed"/>
        <w:tblCellMar>
          <w:top w:w="28" w:type="dxa"/>
          <w:left w:w="28" w:type="dxa"/>
          <w:bottom w:w="28" w:type="dxa"/>
          <w:right w:w="28" w:type="dxa"/>
        </w:tblCellMar>
      </w:tblPr>
      <w:tblGrid>
        <w:gridCol w:w="996"/>
        <w:gridCol w:w="872"/>
        <w:gridCol w:w="877"/>
        <w:gridCol w:w="109"/>
        <w:gridCol w:w="109"/>
        <w:gridCol w:w="109"/>
        <w:gridCol w:w="175"/>
        <w:gridCol w:w="175"/>
        <w:gridCol w:w="176"/>
        <w:gridCol w:w="109"/>
        <w:gridCol w:w="109"/>
        <w:gridCol w:w="109"/>
        <w:gridCol w:w="1605"/>
        <w:gridCol w:w="1605"/>
        <w:gridCol w:w="2279"/>
      </w:tblGrid>
      <w:tr>
        <w:trPr/>
        <w:tc>
          <w:tcPr>
            <w:tcW w:w="9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Lato;sans-serif" w:hAnsi="Lato;sans-serif"/>
                <w:b/>
                <w:color w:val="000000"/>
                <w:sz w:val="20"/>
              </w:rPr>
            </w:pPr>
            <w:r>
              <w:rPr>
                <w:rFonts w:ascii="Lato;sans-serif" w:hAnsi="Lato;sans-serif"/>
                <w:b/>
                <w:color w:val="000000"/>
                <w:sz w:val="20"/>
              </w:rPr>
              <w:t>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Position/Title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Founder, chairman, director and chief executive officer</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Marshall Bernes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Director, Head of Brand Center</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Zhiwu 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Independent Director</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Jan William Visser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Independent Director</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Kenneth E Lebensburger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Independent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37845"/>
                <wp:effectExtent l="0" t="0" r="0" b="0"/>
                <wp:wrapNone/>
                <wp:docPr id="14" name="Frame11"/>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23" w:after="283"/>
        <w:jc w:val="both"/>
        <w:rPr>
          <w:rFonts w:ascii="Lato;sans-serif" w:hAnsi="Lato;sans-serif"/>
          <w:b/>
          <w:color w:val="005CB9"/>
          <w:sz w:val="32"/>
        </w:rPr>
      </w:pPr>
      <w:r>
        <w:rPr>
          <w:rFonts w:ascii="Lato;sans-serif" w:hAnsi="Lato;sans-serif"/>
          <w:b/>
          <w:color w:val="005CB9"/>
          <w:sz w:val="32"/>
        </w:rPr>
        <w:t xml:space="preserve">Director Biographies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following is a brief biographical summary of the experience of our directors: </w:t>
      </w:r>
    </w:p>
    <w:tbl>
      <w:tblPr>
        <w:tblW w:w="10205" w:type="dxa"/>
        <w:jc w:val="left"/>
        <w:tblInd w:w="0" w:type="dxa"/>
        <w:tblLayout w:type="fixed"/>
        <w:tblCellMar>
          <w:top w:w="28" w:type="dxa"/>
          <w:left w:w="28" w:type="dxa"/>
          <w:bottom w:w="28" w:type="dxa"/>
          <w:right w:w="28" w:type="dxa"/>
        </w:tblCellMar>
      </w:tblPr>
      <w:tblGrid>
        <w:gridCol w:w="3342"/>
        <w:gridCol w:w="2935"/>
        <w:gridCol w:w="3928"/>
      </w:tblGrid>
      <w:tr>
        <w:trPr/>
        <w:tc>
          <w:tcPr>
            <w:tcW w:w="3342"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Larry Lei Wu</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283"/>
              <w:jc w:val="both"/>
              <w:rPr>
                <w:rFonts w:ascii="Lato;sans-serif" w:hAnsi="Lato;sans-serif"/>
                <w:b w:val="false"/>
                <w:color w:val="000000"/>
                <w:sz w:val="20"/>
              </w:rPr>
            </w:pPr>
            <w:r>
              <w:rPr>
                <w:rFonts w:ascii="Lato;sans-serif" w:hAnsi="Lato;sans-serif"/>
                <w:b w:val="false"/>
                <w:color w:val="000000"/>
                <w:sz w:val="20"/>
              </w:rPr>
              <w:t xml:space="preserve">Larry Lei Wu is our founder and has served as our director, chairman and chief executive officer since our inception in 2006. Prior to founding our company, among others, Mr. Wu served as the general manager of a vocational education and online education company, New Oriental Education &amp; Technology Group Inc. (NYSE: EDU and SEHK: 9901), from 2002 to 2006. Mr. Wu received his MBA degree from Yale University in 2002 and his bachelor’s degree in mechanical manufacturing from Beijing Union University in 1994. </w:t>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Marshall Bernes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Mr. Bernes has served as the Company’s Head of Brand Center (formerly known as the Baas Program) since January 2024. Prior to joining the Company, Mr. Bernes was the founder and former chief executive officer of Noble House Home Furnishings LLC since 1988, with more than 30 years of experience in the home furnishings market. Mr. Bernes attended medical school at the New York Medical College from 1966 to 1970, and he was board certified in 1976. Mr. Bernes received his bachelor of science degree from the University of Pittsburgh in 1966.</w:t>
            </w:r>
          </w:p>
        </w:tc>
      </w:tr>
    </w:tbl>
    <w:p>
      <w:pPr>
        <w:pStyle w:val="TextBody"/>
        <w:bidi w:val="0"/>
        <w:spacing w:lineRule="auto" w:line="362" w:before="480" w:after="20"/>
        <w:jc w:val="left"/>
        <w:rPr>
          <w:rFonts w:ascii="Lato;sans-serif" w:hAnsi="Lato;sans-serif"/>
          <w:b/>
          <w:color w:val="005CB9"/>
          <w:sz w:val="24"/>
        </w:rPr>
      </w:pPr>
      <w:r>
        <w:rPr>
          <w:rFonts w:ascii="Lato;sans-serif" w:hAnsi="Lato;sans-serif"/>
          <w:b/>
          <w:color w:val="005CB9"/>
          <w:sz w:val="24"/>
        </w:rPr>
        <w:t>Non-Executive Directors (“Non-Employee Directors”)</w:t>
      </w:r>
    </w:p>
    <w:tbl>
      <w:tblPr>
        <w:tblW w:w="10205" w:type="dxa"/>
        <w:jc w:val="left"/>
        <w:tblInd w:w="0" w:type="dxa"/>
        <w:tblLayout w:type="fixed"/>
        <w:tblCellMar>
          <w:top w:w="28" w:type="dxa"/>
          <w:left w:w="28" w:type="dxa"/>
          <w:bottom w:w="28" w:type="dxa"/>
          <w:right w:w="28" w:type="dxa"/>
        </w:tblCellMar>
      </w:tblPr>
      <w:tblGrid>
        <w:gridCol w:w="3259"/>
        <w:gridCol w:w="2860"/>
        <w:gridCol w:w="4086"/>
      </w:tblGrid>
      <w:tr>
        <w:trPr/>
        <w:tc>
          <w:tcPr>
            <w:tcW w:w="325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Zhiwu Chen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Lato;sans-serif" w:hAnsi="Lato;sans-serif"/>
                <w:b w:val="false"/>
                <w:color w:val="000000"/>
                <w:sz w:val="20"/>
              </w:rPr>
            </w:pPr>
            <w:r>
              <w:rPr>
                <w:rFonts w:ascii="Lato;sans-serif" w:hAnsi="Lato;sans-serif"/>
                <w:b w:val="false"/>
                <w:color w:val="000000"/>
                <w:sz w:val="20"/>
              </w:rPr>
              <w:t>Zhiwu Chen has served as our independent director since August 2022. He has been an independent director at Bairong Inc. (HKEX: 6608) since March 2021. Professor Chen has been a faculty member at the University of Hong Kong since 2016 and currently serves as director of both the Hong Kong Institute for the Humanities and Social Sciences (IHSS) and Centre for Quantitative History (CQH). Professor Chen was formerly a professor of finance at Yale University from 1999 to 2017. Professor Chen was on the board of directors at Noah Holdings (NYSE: NOAH) from December 2013 to June 2024, PetroChina Company Limited (HKSE: 857, SHSE: 601857, NYSE: PTR) from May 2011 to June 2017, Bank of Communications (SHSE: 601328) from November 2010 to August 2018, and IDG Energy Investment Ltd (HKSE: 650) from July 2015 to October 2018. Professor Chen received his PhD in financial economics from Yale University in 1990, his master’s degree in computer science from Changsha Institute of Technology in 1986 and his bachelor’s degree in computer science from Central-South University in 1983.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37845"/>
                <wp:effectExtent l="0" t="0" r="0" b="0"/>
                <wp:wrapNone/>
                <wp:docPr id="15" name="Frame1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10205" w:type="dxa"/>
        <w:jc w:val="left"/>
        <w:tblInd w:w="0" w:type="dxa"/>
        <w:tblLayout w:type="fixed"/>
        <w:tblCellMar>
          <w:top w:w="28" w:type="dxa"/>
          <w:left w:w="28" w:type="dxa"/>
          <w:bottom w:w="28" w:type="dxa"/>
          <w:right w:w="28" w:type="dxa"/>
        </w:tblCellMar>
      </w:tblPr>
      <w:tblGrid>
        <w:gridCol w:w="3718"/>
        <w:gridCol w:w="2731"/>
        <w:gridCol w:w="3756"/>
      </w:tblGrid>
      <w:tr>
        <w:trPr/>
        <w:tc>
          <w:tcPr>
            <w:tcW w:w="3718"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Jan William Visser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Lato;sans-serif" w:hAnsi="Lato;sans-serif"/>
                <w:b w:val="false"/>
                <w:color w:val="000000"/>
                <w:sz w:val="20"/>
              </w:rPr>
            </w:pPr>
            <w:r>
              <w:rPr>
                <w:rFonts w:ascii="Lato;sans-serif" w:hAnsi="Lato;sans-serif"/>
                <w:b w:val="false"/>
                <w:color w:val="000000"/>
                <w:sz w:val="20"/>
              </w:rPr>
              <w:t>Jan (John) William Visser has served as our independent director since August 2023. Mr. Visser joined doTERRA International as Vice President of Global Logistics in August 2018 and he has been the Executive Vice President of Operations since May 2024 overseeing sourcing, manufacturing, logistics, fulfillment, inventory control, supply and demand planning, trade compliance and data governance. Previously, he worked at Walmart, Inc. for almost 19 years where he had various responsibilities, including his last role as a vice president leading teams to provide strategic direction, talent development, process efficiency expertise and cost reduction support to Walmart's international markets. Mr. Visser has also served on Brigham Young University’s Global Supply Chain Advisory Board since 2011. Mr. Visser received his bachelor’s degree in Spanish Translation from Brigham Young University in 1992 and his MBA from the Thunderbird School of Global Management in 1996.</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Kenneth E Lebensburger Jr.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Lato;sans-serif" w:hAnsi="Lato;sans-serif"/>
                <w:b w:val="false"/>
                <w:color w:val="000000"/>
                <w:sz w:val="20"/>
              </w:rPr>
            </w:pPr>
            <w:r>
              <w:rPr>
                <w:rFonts w:ascii="Lato;sans-serif" w:hAnsi="Lato;sans-serif"/>
                <w:b w:val="false"/>
                <w:color w:val="000000"/>
                <w:sz w:val="20"/>
              </w:rPr>
              <w:t>Kenneth (Kerry) Lebensburger has served as our independent director since August 2025. He is a highly respected furniture industry veteran with more than 30 years at Ashley Furniture until 2023, where he held leadership roles including Vice President of Sales, President of the Upholstery Division, and President of Sales and Marketing. He has also served on the boards of the American Home Furnishings Hall of Fame, the Home Furnishings Association, and the Las Vegas Home Furniture Association, and is the recipient of multiple industry honors. Mr. Lebensburger earned his bachelor’s degree from The Wharton School of the University of Pennsylvania in 1968 and his MBA from the University of Cincinnati in 1969.</w:t>
            </w:r>
          </w:p>
        </w:tc>
      </w:tr>
      <w:tr>
        <w:trPr/>
        <w:tc>
          <w:tcPr>
            <w:tcW w:w="10205" w:type="dxa"/>
            <w:gridSpan w:val="3"/>
            <w:tcBorders>
              <w:bottom w:val="single" w:sz="8" w:space="0" w:color="005CB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A director is not required to hold any shares in our company to qualify to serve as a director. Our board of directors may exercise all the powers of our company to raise or borrow money, and to mortgage or charge its undertaking, property and assets (present and future) and uncalled capital or any part thereof, and to issue debentures, debenture stock, bonds and other securities, whether outright or as collateral security for any debt, liability or obligation of our company or of any third party. None of our directors has a service contract with us or any of our subsidiaries that provides for benefits upon termination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 xml:space="preserve">Terms of Directors </w:t>
      </w:r>
    </w:p>
    <w:p>
      <w:pPr>
        <w:pStyle w:val="TextBody"/>
        <w:bidi w:val="0"/>
        <w:spacing w:lineRule="auto" w:line="362" w:before="160" w:after="283"/>
        <w:jc w:val="both"/>
        <w:rPr>
          <w:rFonts w:ascii="Lato;sans-serif" w:hAnsi="Lato;sans-serif"/>
          <w:b w:val="false"/>
          <w:color w:val="000000"/>
          <w:sz w:val="20"/>
        </w:rPr>
      </w:pPr>
      <w:r>
        <w:rPr>
          <w:rFonts w:ascii="Lato;sans-serif" w:hAnsi="Lato;sans-serif"/>
          <w:b w:val="false"/>
          <w:color w:val="000000"/>
          <w:sz w:val="20"/>
        </w:rPr>
        <w:t>Each of our directors is subject to a 12-month term of office and hold office until the end of each term or until such time as he or she resigns or is removed from office by ordinary resolution of our shareholders, subject further to the provisions in our memorandum and articles of association. Our directors may be elected by our board of directors, or by an ordinary resolution of our shareholders, subject further to the provisions in our memorandum and articles of association.</w:t>
      </w:r>
    </w:p>
    <w:p>
      <w:pPr>
        <w:pStyle w:val="TextBody"/>
        <w:bidi w:val="0"/>
        <w:spacing w:lineRule="auto" w:line="362" w:before="160" w:after="283"/>
        <w:jc w:val="both"/>
        <w:rPr>
          <w:rFonts w:ascii="Lato;sans-serif" w:hAnsi="Lato;sans-serif"/>
          <w:b w:val="false"/>
          <w:color w:val="000000"/>
          <w:sz w:val="20"/>
        </w:rPr>
      </w:pPr>
      <w:r>
        <w:rPr>
          <w:rFonts w:ascii="Lato;sans-serif" w:hAnsi="Lato;sans-serif"/>
          <w:b w:val="false"/>
          <w:color w:val="000000"/>
          <w:sz w:val="20"/>
        </w:rPr>
        <w:t>A director may be removed from office by an ordinary resolution of our shareholders.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pStyle w:val="TextBody"/>
        <w:bidi w:val="0"/>
        <w:spacing w:lineRule="auto" w:line="362" w:before="160" w:after="283"/>
        <w:jc w:val="both"/>
        <w:rPr>
          <w:rFonts w:ascii="Lato;sans-serif" w:hAnsi="Lato;sans-serif"/>
          <w:b w:val="false"/>
          <w:color w:val="000000"/>
          <w:sz w:val="20"/>
        </w:rPr>
      </w:pPr>
      <w:r>
        <w:rPr>
          <w:rFonts w:ascii="Lato;sans-serif" w:hAnsi="Lato;sans-serif"/>
          <w:b w:val="false"/>
          <w:color w:val="000000"/>
          <w:sz w:val="20"/>
        </w:rPr>
        <w:t xml:space="preserve">A director will also be removed from office automatically if, among other things, the director (i) becomes bankrupt or makes any arrangement or composition with his or her creditors; (ii) dies or is found by our company to be of unsound mind; (iii) resigns his or her office by notice in writing to our company; (iv)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37845"/>
                <wp:effectExtent l="0" t="0" r="0" b="0"/>
                <wp:wrapNone/>
                <wp:docPr id="16" name="Frame1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283"/>
        <w:jc w:val="both"/>
        <w:rPr>
          <w:rFonts w:ascii="Lato;sans-serif" w:hAnsi="Lato;sans-serif"/>
          <w:b w:val="false"/>
          <w:color w:val="000000"/>
          <w:sz w:val="20"/>
        </w:rPr>
      </w:pPr>
      <w:r>
        <w:rPr>
          <w:rFonts w:ascii="Lato;sans-serif" w:hAnsi="Lato;sans-serif"/>
          <w:b w:val="false"/>
          <w:color w:val="000000"/>
          <w:sz w:val="20"/>
        </w:rPr>
        <w:t xml:space="preserve">special leave of absence from our board of directors, is absent from three consecutive meetings of the board and the board resolves that his or her office be vacated; or (v) is removed from office pursuant to any other provisions of our memorandum and articles of association, as amended and restated from time to time. There is no mandatory retirement age for directors. None of our directors has a service contract with us or any of our subsidiaries that provides for benefits upon termination of service.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37845"/>
                <wp:effectExtent l="0" t="0" r="0" b="0"/>
                <wp:wrapNone/>
                <wp:docPr id="17" name="Frame1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14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 xml:space="preserve">Director Compensation </w:t>
      </w:r>
    </w:p>
    <w:p>
      <w:pPr>
        <w:pStyle w:val="TextBody"/>
        <w:bidi w:val="0"/>
        <w:spacing w:lineRule="auto" w:line="362" w:before="0" w:after="160"/>
        <w:jc w:val="both"/>
        <w:rPr>
          <w:rFonts w:ascii="Lato;sans-serif" w:hAnsi="Lato;sans-serif"/>
          <w:b w:val="false"/>
          <w:color w:val="000000"/>
          <w:sz w:val="20"/>
        </w:rPr>
      </w:pPr>
      <w:r>
        <w:rPr>
          <w:rFonts w:ascii="Lato;sans-serif" w:hAnsi="Lato;sans-serif"/>
          <w:b w:val="false"/>
          <w:color w:val="000000"/>
          <w:sz w:val="20"/>
        </w:rPr>
        <w:t xml:space="preserve">Our employees who also serve as directors do not receive additional compensation for their service as directors. Our non-employee director compensation program provides for annual retainer fees of $66,000 and $114,000 in our Class A ordinary shares for each 12 month-term.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During 2025, there was no change to our non-employee director compensation compared to the previous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20"/>
        <w:jc w:val="left"/>
        <w:rPr>
          <w:rFonts w:ascii="Lato;sans-serif" w:hAnsi="Lato;sans-serif"/>
          <w:b/>
          <w:i/>
          <w:color w:val="005CB9"/>
          <w:sz w:val="24"/>
        </w:rPr>
      </w:pPr>
      <w:r>
        <w:rPr>
          <w:rFonts w:ascii="Lato;sans-serif" w:hAnsi="Lato;sans-serif"/>
          <w:b/>
          <w:i/>
          <w:color w:val="005CB9"/>
          <w:sz w:val="24"/>
        </w:rPr>
        <w:t>Director Compensation Table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following table provides information regarding compensation paid to each of our non-employee directors for the fiscal year ended December 31, 2025. </w:t>
      </w:r>
    </w:p>
    <w:tbl>
      <w:tblPr>
        <w:tblW w:w="11897" w:type="dxa"/>
        <w:jc w:val="left"/>
        <w:tblInd w:w="0" w:type="dxa"/>
        <w:tblLayout w:type="fixed"/>
        <w:tblCellMar>
          <w:top w:w="28" w:type="dxa"/>
          <w:left w:w="28" w:type="dxa"/>
          <w:bottom w:w="28" w:type="dxa"/>
          <w:right w:w="28" w:type="dxa"/>
        </w:tblCellMar>
      </w:tblPr>
      <w:tblGrid>
        <w:gridCol w:w="580"/>
        <w:gridCol w:w="329"/>
        <w:gridCol w:w="202"/>
        <w:gridCol w:w="109"/>
        <w:gridCol w:w="109"/>
        <w:gridCol w:w="109"/>
        <w:gridCol w:w="211"/>
        <w:gridCol w:w="721"/>
        <w:gridCol w:w="109"/>
        <w:gridCol w:w="109"/>
        <w:gridCol w:w="109"/>
        <w:gridCol w:w="109"/>
        <w:gridCol w:w="211"/>
        <w:gridCol w:w="826"/>
        <w:gridCol w:w="109"/>
        <w:gridCol w:w="109"/>
        <w:gridCol w:w="109"/>
        <w:gridCol w:w="109"/>
        <w:gridCol w:w="231"/>
        <w:gridCol w:w="445"/>
        <w:gridCol w:w="120"/>
        <w:gridCol w:w="109"/>
        <w:gridCol w:w="109"/>
        <w:gridCol w:w="109"/>
        <w:gridCol w:w="418"/>
        <w:gridCol w:w="805"/>
        <w:gridCol w:w="218"/>
        <w:gridCol w:w="109"/>
        <w:gridCol w:w="109"/>
        <w:gridCol w:w="109"/>
        <w:gridCol w:w="418"/>
        <w:gridCol w:w="805"/>
        <w:gridCol w:w="218"/>
        <w:gridCol w:w="109"/>
        <w:gridCol w:w="109"/>
        <w:gridCol w:w="109"/>
        <w:gridCol w:w="418"/>
        <w:gridCol w:w="805"/>
        <w:gridCol w:w="218"/>
        <w:gridCol w:w="109"/>
        <w:gridCol w:w="109"/>
        <w:gridCol w:w="109"/>
        <w:gridCol w:w="211"/>
        <w:gridCol w:w="8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Fees Earned</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or Paid in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Cash</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Stock Awards</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Option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Awards</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Non-Equity</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Incentive Plan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Compensation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Nonqualified</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Deferred</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Compensation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Earnings</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All Other</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Compensation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w:t>
              <w:b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Zhiwu 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Jan William Visser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40" w:after="40"/>
              <w:ind w:left="0" w:right="0" w:hanging="180"/>
              <w:jc w:val="left"/>
              <w:rPr/>
            </w:pPr>
            <w:r>
              <w:rPr>
                <w:rFonts w:ascii="Lato;sans-serif" w:hAnsi="Lato;sans-serif"/>
                <w:b w:val="false"/>
                <w:color w:val="000000"/>
                <w:sz w:val="16"/>
              </w:rPr>
              <w:t>Kenneth E Lebensburger Jr.</w:t>
            </w:r>
            <w:r>
              <w:rPr>
                <w:rFonts w:ascii="Lato;sans-serif" w:hAnsi="Lato;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Lorri Kelley</w:t>
            </w:r>
            <w:r>
              <w:rPr>
                <w:rFonts w:ascii="Lato;sans-serif" w:hAnsi="Lato;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260" w:after="80"/>
        <w:ind w:left="0" w:right="0" w:hanging="360"/>
        <w:jc w:val="both"/>
        <w:rPr/>
      </w:pPr>
      <w:r>
        <w:rPr>
          <w:rFonts w:ascii="Lato;sans-serif" w:hAnsi="Lato;sans-serif"/>
          <w:b w:val="false"/>
          <w:color w:val="000000"/>
          <w:sz w:val="10"/>
        </w:rPr>
        <w:t>(1)</w:t>
      </w:r>
      <w:r>
        <w:rPr>
          <w:rFonts w:ascii="Lato;sans-serif" w:hAnsi="Lato;sans-serif"/>
          <w:b w:val="false"/>
          <w:color w:val="000000"/>
          <w:sz w:val="16"/>
        </w:rPr>
        <w:t>Represents the aggregate dollar amount of all fees earned or paid in cash for services as a director, including annual retainer fees.</w:t>
      </w:r>
    </w:p>
    <w:p>
      <w:pPr>
        <w:pStyle w:val="TextBody"/>
        <w:bidi w:val="0"/>
        <w:spacing w:lineRule="auto" w:line="288" w:before="0" w:after="160"/>
        <w:ind w:left="0" w:right="0" w:hanging="360"/>
        <w:jc w:val="left"/>
        <w:rPr/>
      </w:pPr>
      <w:r>
        <w:rPr>
          <w:rFonts w:ascii="Lato;sans-serif" w:hAnsi="Lato;sans-serif"/>
          <w:b w:val="false"/>
          <w:color w:val="000000"/>
          <w:sz w:val="10"/>
        </w:rPr>
        <w:t>(2)</w:t>
      </w:r>
      <w:r>
        <w:rPr>
          <w:rFonts w:ascii="Lato;sans-serif" w:hAnsi="Lato;sans-serif"/>
          <w:b w:val="false"/>
          <w:color w:val="000000"/>
          <w:sz w:val="16"/>
        </w:rPr>
        <w:t xml:space="preserve">The amounts reported represent the aggregate grant date fair value of fully vested share awards upon grant during the applicable year, calculated in accordance FASB ASC Topic 718. The assumptions used in calculating the grant date fair value of the awards reported in this column are set forth in Note 13 to our audited financial statements in the 2025 Annual Report. </w:t>
      </w:r>
    </w:p>
    <w:p>
      <w:pPr>
        <w:pStyle w:val="TextBody"/>
        <w:bidi w:val="0"/>
        <w:spacing w:lineRule="auto" w:line="268" w:before="0" w:after="0"/>
        <w:ind w:left="0" w:right="0" w:hanging="360"/>
        <w:jc w:val="left"/>
        <w:rPr/>
      </w:pPr>
      <w:r>
        <w:rPr>
          <w:rFonts w:ascii="Lato;sans-serif" w:hAnsi="Lato;sans-serif"/>
          <w:b w:val="false"/>
          <w:color w:val="000000"/>
          <w:sz w:val="12"/>
        </w:rPr>
        <w:t>(3)</w:t>
      </w:r>
      <w:r>
        <w:rPr>
          <w:rFonts w:ascii="Lato;sans-serif" w:hAnsi="Lato;sans-serif"/>
          <w:b w:val="false"/>
          <w:color w:val="000000"/>
          <w:sz w:val="16"/>
        </w:rPr>
        <w:t>Mr. Lebensburger has served as our director since August 2025.</w:t>
      </w:r>
    </w:p>
    <w:p>
      <w:pPr>
        <w:pStyle w:val="TextBody"/>
        <w:bidi w:val="0"/>
        <w:spacing w:lineRule="auto" w:line="362" w:before="160" w:after="160"/>
        <w:ind w:left="0" w:right="0" w:hanging="360"/>
        <w:jc w:val="left"/>
        <w:rPr/>
      </w:pPr>
      <w:r>
        <w:rPr>
          <w:rFonts w:ascii="Lato;sans-serif" w:hAnsi="Lato;sans-serif"/>
          <w:b w:val="false"/>
          <w:color w:val="000000"/>
          <w:sz w:val="10"/>
        </w:rPr>
        <w:t>(4)</w:t>
      </w:r>
      <w:r>
        <w:rPr>
          <w:rFonts w:ascii="Lato;sans-serif" w:hAnsi="Lato;sans-serif"/>
          <w:b w:val="false"/>
          <w:color w:val="000000"/>
          <w:sz w:val="16"/>
        </w:rPr>
        <w:t>Mrs. Kelley served as our director since August 2023 and resigned from our Board of Directors in August 2025.</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We have entered into indemnification agreements with each of our directors. Under these agreements, we agree to indemnify our directors against all liabilities and expenses incurred by such persons in connection with claims made by reason of their being a director of our company to the fullest extent permitted by law with certain limited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7550"/>
                <wp:effectExtent l="0" t="0" r="0" b="0"/>
                <wp:wrapNone/>
                <wp:docPr id="18" name="Frame1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 xml:space="preserve">Corporate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Corporate Governance Guidelines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has adopted Corporate Governance Guidelines that address, among other topics, the role and responsibilities of our directors, the structure and composition of our board of directors, and corporate governance policies and standards applicable to us in general. The Corporate Governance Guidelines are subject to periodic reviews and changes by our Nominating and Corporate Governance Committee and our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Code of Business Conduct and Ethics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We have adopted a code of business conduct and ethics, as amended and restated, which is applicable to all of our directors, executive officers and employees. A copy of our code of business conduct and ethics is available on our website at https://www.gigacloudtech.com/. We have included our website address in this proxy statement solely as an inactive textual reference. The reference to our website address does not constitute incorporation by reference of the information contained at or available through our website, and investors should not consider it to be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Director Independence</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consists of five directors. Our board of directors has affirmatively determined that all of our directors, other than Mr. Larry Lei Wu and Mr. Marshall Bernes, are independent directors in accordance with the listing requirements of the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has also determined that each member of each committee of our board of directors is currently independent in accordance with the rules and regulations of the Nasdaq. Each member of our Audit Committee of our board of directors is also independent in accordance with Rule 10a-3(b)(1) under the Securities Exchange Act of 1934, as amended, or the Exchange Act.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There are no family relationships among any of our directors or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7550"/>
                <wp:effectExtent l="0" t="0" r="0" b="0"/>
                <wp:wrapNone/>
                <wp:docPr id="19" name="Frame1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16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16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Risk Oversight</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and regulatory risk exposure, including monitoring our company’s compliance with cybersecurity and data protection rules and regulations, approving our company’s budget after considering various risks such as risks associated with supply chain, suppliers and key service providers, if any. Our board of directors receives periodic reporting from our chief executive officer on cybersecurity and any other business operational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Shareholder Communications with Directors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Any shareholders or other interested parties may communicate with our board of directors or with an individual director by writing to our board of directors or to the particular director and mailing the correspondence to: GigaCloud Technology Inc, 4388 Shirley Avenue, El Monte, CA 91731, USA, Attention: Board of Directors c/o Board Secretary.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Communications must state the number of shares owned by the person making the communication, if any. Our Board Secretary will review and forward such communication to all of the members of our board of directors or to the individual director(s) to whom the communication is addressed unless the communication is unduly frivolous, hostile, threatening or similarly inappropriate, in which case, our Board Secretary may disregard the communication in his or her discretion. We will regularly provide our board of directors with a summary of all substantive communications.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Board Qualifications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has delegated to our Nominating and Corporate Governance Committee the responsibility to identify, evaluate and recommend director candidates to our board of directors for their consideration, as deemed appropriate.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Directors are selected on the basis of talent, experience, integrity, independence and time availability in light of other commitments, among other things. Diversity of background, including diversity of gender, race, ethnic or geographic origin and age, and experience in areas relevant to our activities are factors in the selection process. For more details, please see “—Director Nominations.”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For a better understanding of the qualifications of each of our directors, we encourage you to read their biographies set forth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 xml:space="preserve">Interested Transactions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 director who is in any way, whether directly or indirectly, interested in a contract or transaction or proposed contract or transaction with our company is required to declare the nature of his interest at a meeting of our directors. A director may, subject to any separate requirement for audit committee approval under applicable law or the Nasdaq Stock Market Listing Rules Company Manual vote with respect to any contract or transaction, or proposed contract or transaction, notwithstanding that he or she may be interested therein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7550"/>
                <wp:effectExtent l="0" t="0" r="0" b="0"/>
                <wp:wrapNone/>
                <wp:docPr id="20" name="Frame1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and if he or she does so, his or her vote shall be counted and he or she may be counted in the quorum at any meeting of the directors at which any such contract or transaction or proposed contract or transaction is considered. If such contract or arrangement is a transaction with a related party, it is a requirement under the Nasdaq Stock Market Listing Rules Company Manual that such transaction be 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Duties of Directors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Under Cayman Islands law, our directors owe us fiduciary duties, including a duty of loyalty, a duty to act honestly and a duty to act in what they consider in good faith to be in our best interests. Our directors may only exercise the powers that are vested in them for a proper purpose, i.e. for the purpose for which such powers were conferred and not for a collateral purpose. Our directors also have a duty to act with skill and care. It was previously considered that a director need not exhibit in the performance of her or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In fulfilling their duty of care to us, our directors must ensure compliance with our memorandum and articles of association, as amended and restated from time to time.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Our company may have the right to seek damages if a duty owed by our directors is breached.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Our board of directors has all the powers necessary for managing, and for directing and supervising, our business affairs. The functions and powers of our board of directors include, among others:</w:t>
      </w:r>
    </w:p>
    <w:p>
      <w:pPr>
        <w:pStyle w:val="TextBody"/>
        <w:bidi w:val="0"/>
        <w:spacing w:lineRule="auto" w:line="362" w:before="120" w:after="283"/>
        <w:ind w:left="0" w:right="0" w:hanging="576"/>
        <w:jc w:val="both"/>
        <w:rPr/>
      </w:pPr>
      <w:r>
        <w:rPr>
          <w:color w:val="000000"/>
        </w:rPr>
        <w:t>•</w:t>
      </w:r>
      <w:r>
        <w:rPr>
          <w:rFonts w:ascii="Lato;sans-serif" w:hAnsi="Lato;sans-serif"/>
          <w:b w:val="false"/>
          <w:color w:val="000000"/>
          <w:sz w:val="20"/>
        </w:rPr>
        <w:t>convening shareholders’ annual and extraordinary general meetings and reporting its work to shareholders at such meetings;</w:t>
      </w:r>
    </w:p>
    <w:p>
      <w:pPr>
        <w:pStyle w:val="TextBody"/>
        <w:bidi w:val="0"/>
        <w:spacing w:lineRule="auto" w:line="362" w:before="120" w:after="283"/>
        <w:ind w:left="0" w:right="0" w:hanging="576"/>
        <w:jc w:val="both"/>
        <w:rPr/>
      </w:pPr>
      <w:r>
        <w:rPr>
          <w:color w:val="000000"/>
        </w:rPr>
        <w:t>•</w:t>
      </w:r>
      <w:r>
        <w:rPr>
          <w:rFonts w:ascii="Lato;sans-serif" w:hAnsi="Lato;sans-serif"/>
          <w:b w:val="false"/>
          <w:color w:val="000000"/>
          <w:sz w:val="20"/>
        </w:rPr>
        <w:t>declaring dividends and distributions;</w:t>
      </w:r>
    </w:p>
    <w:p>
      <w:pPr>
        <w:pStyle w:val="TextBody"/>
        <w:bidi w:val="0"/>
        <w:spacing w:lineRule="auto" w:line="362" w:before="120" w:after="283"/>
        <w:ind w:left="0" w:right="0" w:hanging="576"/>
        <w:jc w:val="both"/>
        <w:rPr/>
      </w:pPr>
      <w:r>
        <w:rPr>
          <w:color w:val="000000"/>
        </w:rPr>
        <w:t>•</w:t>
      </w:r>
      <w:r>
        <w:rPr>
          <w:rFonts w:ascii="Lato;sans-serif" w:hAnsi="Lato;sans-serif"/>
          <w:b w:val="false"/>
          <w:color w:val="000000"/>
          <w:sz w:val="20"/>
        </w:rPr>
        <w:t>appointing officers and determining the term of office of officers;</w:t>
      </w:r>
    </w:p>
    <w:p>
      <w:pPr>
        <w:pStyle w:val="TextBody"/>
        <w:bidi w:val="0"/>
        <w:spacing w:lineRule="auto" w:line="362" w:before="120" w:after="283"/>
        <w:ind w:left="0" w:right="0" w:hanging="576"/>
        <w:jc w:val="both"/>
        <w:rPr/>
      </w:pPr>
      <w:r>
        <w:rPr>
          <w:color w:val="000000"/>
        </w:rPr>
        <w:t>•</w:t>
      </w:r>
      <w:r>
        <w:rPr>
          <w:rFonts w:ascii="Lato;sans-serif" w:hAnsi="Lato;sans-serif"/>
          <w:b w:val="false"/>
          <w:color w:val="000000"/>
          <w:sz w:val="20"/>
        </w:rPr>
        <w:t>exercising the borrowing powers of our company and mortgaging the property of our company; and</w:t>
      </w:r>
    </w:p>
    <w:p>
      <w:pPr>
        <w:pStyle w:val="TextBody"/>
        <w:bidi w:val="0"/>
        <w:spacing w:lineRule="auto" w:line="362" w:before="120" w:after="283"/>
        <w:ind w:left="0" w:right="0" w:hanging="576"/>
        <w:jc w:val="both"/>
        <w:rPr/>
      </w:pPr>
      <w:r>
        <w:rPr>
          <w:color w:val="000000"/>
        </w:rPr>
        <w:t>•</w:t>
      </w:r>
      <w:r>
        <w:rPr>
          <w:rFonts w:ascii="Lato;sans-serif" w:hAnsi="Lato;sans-serif"/>
          <w:b w:val="false"/>
          <w:color w:val="000000"/>
          <w:sz w:val="20"/>
        </w:rPr>
        <w:t>approving the transfer of shares of our company, including the registering of such shares in our register of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03" w:after="20"/>
        <w:jc w:val="both"/>
        <w:rPr>
          <w:rFonts w:ascii="Lato;sans-serif" w:hAnsi="Lato;sans-serif"/>
          <w:b/>
          <w:color w:val="005CB9"/>
          <w:sz w:val="32"/>
        </w:rPr>
      </w:pPr>
      <w:r>
        <w:rPr>
          <w:rFonts w:ascii="Lato;sans-serif" w:hAnsi="Lato;sans-serif"/>
          <w:b/>
          <w:color w:val="005CB9"/>
          <w:sz w:val="32"/>
        </w:rPr>
        <w:t>Director Nominations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is responsible for nominating for appointment by our shareholders, or for appointing by resolution of our board of directors itself, directors to fill a vacancy or as an addition to the existing board. Our board of directors has delegated to our Nominating and Corporate Governance Committee the responsibility to identify, evaluate, and recommend director candidates to our board of directors for their consideration, as deemed appropriate.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board of directors has adopted corporate governance guidelines that include, among other things, the criteria that our board of directors may consider in evaluating the suitability of director candidates. Our board of directors has delegated to our Nominating and Corporate Governance Committee the responsibility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7550"/>
                <wp:effectExtent l="0" t="0" r="0" b="0"/>
                <wp:wrapNone/>
                <wp:docPr id="21" name="Frame1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18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18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reviewing, on an annual basis, the qualification criteria for our board of directors as a whole and its individual members and recommending any changes to our board of directors for approval.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In identifying director candidates, our board of directors and our Nominating and Corporate Governance Committee may consider any factors that they deem appropriate in the context of the needs of our board of directors and the overall diversity and composition of our board of directors. Such factors may include, but are not limited to, the candidate’s qualifications, skills, expertise, experience, integrity, independence (including any actual or perceived conflicts of interest), and time availability in light of other commitments. Diversity may be considered across multiple dimensions, including diversity in experiences, perspective, and skills as well as diversity with respect to other background characteristics such as gender, age, culture, ethnicity, and nationality. Overall, our board of directors and our Nominating and Corporate Governance Committee will be guided to select and recommend director candidates that they determine are best suited to meet the needs of our board of directors and further the interests of our shareholders through their established record of professional accomplishment, ability to contribute positively to the collaborative culture among board members, knowledge of our business, understanding of the competitive landscape, and professional and personal experiences and relevant expertise.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Attendance at Annual Meeting</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Attendance of the annual meeting of shareholders by our directors and nominees for directors, if any, is not mandatory. However, we invite and encourage each member of our Board of Directors to attend our annual meetings of shareholders. Three members of our directors attended the 2025 annual meeting of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Board Leadership Structure</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founder and chief executive officer, Larry Lei Wu, is the chairman of our board of directors. Our board of directors believes that Mr. Wu is the director best suited to identify strategic opportunities for our company and areas of focus for our board of directors due to his extensive understanding of our business as our founder and chief executive officer and his deep knowledge of our industry. Our board of directors also believes that the combined role of chairman and chief executive officer promotes effective execution of strategic initiatives and facilitates the flow of information between management and our board of directors. While the roles of chairman of our board of directors and chief executive officer are combined, Mr. Zhiwu Chen, will, among other things, lead meetings of the board when the chairman is not present, serve as liaison between the chairman and independent directors, have the authority to call meetings of the independent directors, and, if requested by a significant portion of our shareholders, be available for consultation and direct communication. Our board of directors believes our current board leadership structure will help ensure continuity of strong and effective leadership.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Board Meetings and Committees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board of directors meets on a regular basis during the year. Our board of directors met eight times and acted by unanimous written consent two times in 2025. Each of the incumbent directors attended 75% or more of the aggregate number of meetings of our board of directors and all committees of our board of directors on which he or she served held during the period for which he or she was a director in 2025. The independent directors ordinarily hold executive sessions at regularly scheduled meetings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7550"/>
                <wp:effectExtent l="0" t="0" r="0" b="0"/>
                <wp:wrapNone/>
                <wp:docPr id="22" name="Frame1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Our board of directors has established three standing committees under our board of directors: an audit committee, a compensation committee and a nominating and corporate governance committee. We have adopted a charter, as amended and restated, for each of the three committees that has been approved by our board of directors and that satisfies the applicable standards of the SEC and Nasdaq. Each committee’s members and functions are described below. The functions performed by these committees are set forth in more detail in their charters, a copy of which are available on our website at https://www.gigacloudtech.com/.</w:t>
      </w:r>
    </w:p>
    <w:p>
      <w:pPr>
        <w:pStyle w:val="TextBody"/>
        <w:bidi w:val="0"/>
        <w:spacing w:lineRule="auto" w:line="362" w:before="23" w:after="283"/>
        <w:jc w:val="both"/>
        <w:rPr>
          <w:rFonts w:ascii="Lato;sans-serif" w:hAnsi="Lato;sans-serif"/>
          <w:b/>
          <w:color w:val="005CB9"/>
          <w:sz w:val="24"/>
        </w:rPr>
      </w:pPr>
      <w:r>
        <w:rPr>
          <w:rFonts w:ascii="Lato;sans-serif" w:hAnsi="Lato;sans-serif"/>
          <w:b/>
          <w:color w:val="005CB9"/>
          <w:sz w:val="24"/>
        </w:rPr>
        <w:t>Audit Committee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Our Audit Committee consists of Zhiwu Chen, Jan William Visser and Kenneth E Lebensburger Jr. Zhiwu Chen is the chairman of our Audit Committee. We have determined that Zhiwu Chen, Jan William Visser and Kenneth E Lebensburger Jr. satisfy the “independence” requirements of Rule 5605(c)(2) of the Nasdaq Stock Market Listing Rules and meet the independence standards under Rule 10A-3 under the Exchange Act. Our Audit Committee consists solely of independent directors that satisfy the Nasdaq and SEC requirements. Our board of directors has also determined that Zhiwu Chen, an independent director and the chairman of our Audit Committee, qualifies as an “audit committee financial expert” within the meaning of the SEC rules and possesses financial sophistication within the meaning of the Nasdaq Stock Market Listing Rules.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Our Audit Committee oversees our accounting and financial reporting processes and the audits of our financial statements. Our Audit Committee is responsible for, among other things: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selecting our independent registered public accounting firm and pre-approving all auditing and non-auditing services performed by our independent registered public accounting firm;</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with the independent registered public accounting firm any audit problems or difficulties and management’s response;</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and approving all proposed related-party transactions, as defined in Item 404 of Regulation S-K under the Securities Act of 1933, as amended, or the Securities Act;</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discussing the annual audited financial statements with management and our independent registered public accounting firm;</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the adequacy and effectiveness of our accounting and internal control policies and procedures and any steps taken to monitor and control major financial risk exposures;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meeting separately and periodically with management and our independent registered public accounting firm;</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monitoring compliance with our code of business conduct and ethics, including reviewing the adequacy and effectiveness of our procedures to ensure compliance;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annually reviewing and reassessing the adequacy of our Audit Committee charter;</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reporting regularly to the full board of directors; and</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performing such other matters that are specifically delegated to our Audit Committee by our board of directors from time to time.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Audit Committee held five meetings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7550"/>
                <wp:effectExtent l="0" t="0" r="0" b="0"/>
                <wp:wrapNone/>
                <wp:docPr id="23" name="Frame2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80" w:after="20"/>
        <w:jc w:val="both"/>
        <w:rPr>
          <w:rFonts w:ascii="Lato;sans-serif" w:hAnsi="Lato;sans-serif"/>
          <w:b/>
          <w:color w:val="005CB9"/>
          <w:sz w:val="24"/>
        </w:rPr>
      </w:pPr>
      <w:r>
        <w:rPr>
          <w:rFonts w:ascii="Lato;sans-serif" w:hAnsi="Lato;sans-serif"/>
          <w:b/>
          <w:color w:val="005CB9"/>
          <w:sz w:val="24"/>
        </w:rPr>
        <w:t>Compensation Committee</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Our Compensation Committee consists of Zhiwu Chen, Jan William Visser and Kenneth E Lebensburger Jr.. Jan William Visser is the chairman of our Compensation Committee. We have determined that Zhiwu Chen, Jan William Visser and Kenneth E Lebensburger Jr. satisfy the “independence” requirements of Rule 5605(a)(2) of the Nasdaq Stock Market Listing Rules.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Our Compensation Committee assists our board of directors in reviewing and approving the compensation structure, including all forms of compensation, relating to our directors and executive officers. Our chief executive officer may not be present at any committee meeting during which his compensation is deliberated.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Our Compensation Committee is responsible for, among other things: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and approving, or recommending to our board of directors for its approval, the compensation of our chief executive officer and other executive officers;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and recommending to our board of directors for determination with respect to the compensation of our non-employee directors;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reviewing and making recommendations to our board of directors with respect to the compensation of our directors;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reviewing periodically and approving any long-term incentive compensation or equity plans, programs or similar arrangements, annual bonuses, employee pension and welfare benefit plans;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administering and overseeing our compliance with the compensation recovery policy;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selecting a compensation consultant, legal counsel or other adviser only after taking into consideration all factors relevant to that person’s independence from management;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annually reviewing and reassessing the adequacy of our Compensation Committee charter;</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reporting regularly to the full board of directors; and</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performing such other matters that are specifically delegated to our Compensation Committee by our board of directors from time to time.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Compensation Committee held two meetings in 2025.</w:t>
      </w:r>
    </w:p>
    <w:p>
      <w:pPr>
        <w:pStyle w:val="TextBody"/>
        <w:bidi w:val="0"/>
        <w:spacing w:lineRule="auto" w:line="362" w:before="23" w:after="20"/>
        <w:jc w:val="both"/>
        <w:rPr>
          <w:rFonts w:ascii="Lato;sans-serif" w:hAnsi="Lato;sans-serif"/>
          <w:b/>
          <w:color w:val="005CB9"/>
          <w:sz w:val="24"/>
        </w:rPr>
      </w:pPr>
      <w:r>
        <w:rPr>
          <w:rFonts w:ascii="Lato;sans-serif" w:hAnsi="Lato;sans-serif"/>
          <w:b/>
          <w:color w:val="005CB9"/>
          <w:sz w:val="24"/>
        </w:rPr>
        <w:t>Compensation Committee Interlocks and Insider Participation</w:t>
      </w:r>
    </w:p>
    <w:p>
      <w:pPr>
        <w:pStyle w:val="TextBody"/>
        <w:bidi w:val="0"/>
        <w:spacing w:lineRule="auto" w:line="362" w:before="80" w:after="80"/>
        <w:jc w:val="both"/>
        <w:rPr>
          <w:rFonts w:ascii="Lato;sans-serif" w:hAnsi="Lato;sans-serif"/>
          <w:b w:val="false"/>
          <w:color w:val="000000"/>
          <w:sz w:val="20"/>
        </w:rPr>
      </w:pPr>
      <w:r>
        <w:rPr>
          <w:rFonts w:ascii="Lato;sans-serif" w:hAnsi="Lato;sans-serif"/>
          <w:b w:val="false"/>
          <w:color w:val="000000"/>
          <w:sz w:val="20"/>
        </w:rPr>
        <w:t>None of the members of our Compensation Committee has ever been one of our officers or employees. None of our executive officers currently serves, or has served, as a member of our board of directors or Compensation Committee of any entity that has one or more executive officers serving as a member of our board of directors or Compensation Committee.</w:t>
      </w:r>
    </w:p>
    <w:p>
      <w:pPr>
        <w:pStyle w:val="TextBody"/>
        <w:bidi w:val="0"/>
        <w:spacing w:lineRule="auto" w:line="362" w:before="23" w:after="20"/>
        <w:jc w:val="both"/>
        <w:rPr>
          <w:rFonts w:ascii="Lato;sans-serif" w:hAnsi="Lato;sans-serif"/>
          <w:b/>
          <w:color w:val="005CB9"/>
          <w:sz w:val="24"/>
        </w:rPr>
      </w:pPr>
      <w:r>
        <w:rPr>
          <w:rFonts w:ascii="Lato;sans-serif" w:hAnsi="Lato;sans-serif"/>
          <w:b/>
          <w:color w:val="005CB9"/>
          <w:sz w:val="24"/>
        </w:rPr>
        <w:t>Nominating and Corporate Governance Committee</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Our Nominating and Corporate Governance Committee consists of Zhiwu Chen, Jan William Visser and Kenneth E Lebensburger Jr.. Kenneth E Lebensburger Jr. is the chairperson of our Nominating and Corporate Governance Committee. We have determined that Zhiwu Chen, Jan William Visser and Kenneth E Lebensburger Jr. satisfy the “independence” requirements of Rule 5605(a)(2) of the Nasdaq Stock Market Listing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7550"/>
                <wp:effectExtent l="0" t="0" r="0" b="0"/>
                <wp:wrapNone/>
                <wp:docPr id="24" name="Frame2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Our Nominating and Corporate Governance Committee assists our board of directors in selecting directors and in determining the composition of our board and board committees. Our Nominating and Corporate Governance Committee is responsible for, among other things: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identifying and recommending nominees for election to our board of directors, or for appointment to fill any vacancy;</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reviewing annually with our board of directors its composition in light of the characteristics of independence, age, skills, experience and availability of service to us;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identifying and recommending to our board the directors to serve as members of committees;</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advising our board periodically with respect to developments in the law and practice of corporate governance as well as our compliance with applicable laws and regulations;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 xml:space="preserve">making recommendations to our board of directors on corporate governance matters and on any corrective action to be taken; </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annually reviewing and reassessing the adequacy of our Nominating and Corporate Governance Committee charter;</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reporting regularly to the full board of directors; and</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performing such other matters that are specifically delegated to our Nominating and Corporate Governance Committee by our board of directors from time to time.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Nominating and Corporate Governance Committee held one meeting and acted by unanimous written consent once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Insider Trading Arrangements and Policies; Anti-Hedging and Anti-Pledging Policies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On January 1, 2024, we adopted an amended and restated insider trading compliance policy and procedures, or our Insider Trading Policy, governing the purchase, sale, and/or other dispositions of our securities by our directors, officers and employees that are reasonably designed to promote compliance with insider trading laws, rules and regulations and Nasdaq listing rules. A copy of our Insider Trading Policy is filed as Exhibit 19 to the 2025 Annual Report.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Hedging transactions involving our securities, such as prepaid variable forward contracts, equity swaps, collars and exchange funds, or other transactions that hedge or offset, or are designed to hedge or offset, any decrease in the market value of our equity securities, are prohibited by our Insider Trading Policy. Additionally, individuals are prohibited from pledging our securities as collateral for a loan, purchasing our securities on margin (i.e., borrowing money to purchase the securities), or placing our securities in a margin account. This prohibition does not apply to cashless exercises of share options under our equity plans, nor to situations approved in advance by the compliance officer.</w:t>
      </w:r>
    </w:p>
    <w:p>
      <w:pPr>
        <w:pStyle w:val="TextBody"/>
        <w:bidi w:val="0"/>
        <w:spacing w:before="160" w:after="1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7550"/>
                <wp:effectExtent l="0" t="0" r="0" b="0"/>
                <wp:wrapNone/>
                <wp:docPr id="25" name="Frame2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340" w:after="330"/>
        <w:jc w:val="center"/>
        <w:rPr>
          <w:rFonts w:ascii="Lato;sans-serif" w:hAnsi="Lato;sans-serif"/>
          <w:b/>
          <w:color w:val="0070C0"/>
          <w:sz w:val="52"/>
        </w:rPr>
      </w:pPr>
      <w:r>
        <w:rPr>
          <w:rFonts w:ascii="Lato;sans-serif" w:hAnsi="Lato;sans-serif"/>
          <w:b/>
          <w:color w:val="0070C0"/>
          <w:sz w:val="52"/>
        </w:rPr>
        <w:t>Audit Committee Report</w:t>
      </w:r>
    </w:p>
    <w:p>
      <w:pPr>
        <w:pStyle w:val="TextBody"/>
        <w:bidi w:val="0"/>
        <w:spacing w:lineRule="auto" w:line="362" w:before="240" w:after="283"/>
        <w:jc w:val="both"/>
        <w:rPr>
          <w:rFonts w:ascii="Lato;sans-serif" w:hAnsi="Lato;sans-serif"/>
          <w:b w:val="false"/>
          <w:i/>
          <w:color w:val="000000"/>
          <w:sz w:val="20"/>
        </w:rPr>
      </w:pPr>
      <w:r>
        <w:rPr>
          <w:rFonts w:ascii="Lato;sans-serif" w:hAnsi="Lato;sans-serif"/>
          <w:b w:val="false"/>
          <w:i/>
          <w:color w:val="000000"/>
          <w:sz w:val="20"/>
        </w:rPr>
        <w:t xml:space="preserve">The material in this report is not “soliciting material,” is not deemed “filed” with the SEC, and is not to be incorporated by reference into any filing of GigaCloud Technology Inc under the Securities Act or the Exchange Act.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The primary purpose of the Audit Committee is to oversee our accounting and financial reporting processes and the audits of our financial statements. The Audit Committee’s functions are more fully described in its charter. Management has the primary responsibility for our financial statements and reporting process, including our systems of internal controls. KPMG Huazhen LLP, our independent registered public accounting firm for fiscal year 2025, was responsible for expressing an opinion on the conformity of our audited financial statements with accounting principles generally accepted in the United States, or U.S. GAAP for fiscal year 2025.</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The Audit Committee is also responsible for, among other things, selecting our independent registered public accounting firm and pre-approving all auditing and non-auditing services performed by our independent registered public accounting firm, reviewing with the independent registered public accounting firm any audit problems or difficulties and management’s response, and discussing the annual audited financial statements with management and our independent registered public accounting firm. The Audit Committee also annually reviews and reassesses the adequacy of our Audit Committee charter.</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In fulfilling its oversight responsibilities, the Audit Committee reviewed and discussed with management and KPMG Huazhen LLP the audited financial statements included in our annual report on Form 10-K for the year ended December 31, 2025.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The Audit Committee also discussed with KPMG Huazhen LLP the matters that are required to be discussed by the applicable requirements of the Public Company Accounting Oversight Board (“PCAOB”) and SEC. The Audit Committee has received and considered the written disclosures and the letter from KPMG Huazhen LLP required by applicable requirements of the PCAOB regarding communications with the Audit Committee concerning independence and has discussed with KPMG Huazhen LLP its independence from the Company and our management. The Audit Committee has concluded that KPMG Huazhen LLP’s provision of audit and non-audit services to GigaCloud and its affiliates is compatible with KPMG Huazhen LLP’s independence for the year ended December 31, 2025.</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Based on these reviews and discussions, the Audit Committee recommended to the board of directors that such audited financial statements be included in the annual report on Form 10-K for the year ended December 31, 2025 for filing with the SEC. </w:t>
      </w:r>
    </w:p>
    <w:p>
      <w:pPr>
        <w:pStyle w:val="TextBody"/>
        <w:bidi w:val="0"/>
        <w:spacing w:lineRule="auto" w:line="362" w:before="340" w:after="330"/>
        <w:jc w:val="left"/>
        <w:rPr>
          <w:rFonts w:ascii="Lato;sans-serif" w:hAnsi="Lato;sans-serif"/>
          <w:b/>
          <w:color w:val="000000"/>
          <w:sz w:val="20"/>
        </w:rPr>
      </w:pPr>
      <w:r>
        <w:rPr>
          <w:rFonts w:ascii="Lato;sans-serif" w:hAnsi="Lato;sans-serif"/>
          <w:b/>
          <w:color w:val="000000"/>
          <w:sz w:val="20"/>
        </w:rPr>
        <w:t>The Audit Committee of GigaCloud Technology Inc</w:t>
      </w:r>
    </w:p>
    <w:p>
      <w:pPr>
        <w:pStyle w:val="TextBody"/>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Zhiwu Chen, Chairman</w:t>
      </w:r>
    </w:p>
    <w:p>
      <w:pPr>
        <w:pStyle w:val="TextBody"/>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Jan William Visser</w:t>
      </w:r>
    </w:p>
    <w:p>
      <w:pPr>
        <w:pStyle w:val="TextBody"/>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Kenneth E Lebensburger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7550"/>
                <wp:effectExtent l="0" t="0" r="0" b="0"/>
                <wp:wrapNone/>
                <wp:docPr id="26" name="Frame2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Executive Officer Biographies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The following table sets forth certain information regarding our executive officers as of the record date. Pursuant to our memorandum and articles of association, our officers will be appointed or removed by and at the discretion of our board of directors. </w:t>
      </w:r>
    </w:p>
    <w:tbl>
      <w:tblPr>
        <w:tblW w:w="8680" w:type="dxa"/>
        <w:jc w:val="left"/>
        <w:tblInd w:w="0" w:type="dxa"/>
        <w:tblLayout w:type="fixed"/>
        <w:tblCellMar>
          <w:top w:w="28" w:type="dxa"/>
          <w:left w:w="28" w:type="dxa"/>
          <w:bottom w:w="28" w:type="dxa"/>
          <w:right w:w="28" w:type="dxa"/>
        </w:tblCellMar>
      </w:tblPr>
      <w:tblGrid>
        <w:gridCol w:w="727"/>
        <w:gridCol w:w="640"/>
        <w:gridCol w:w="643"/>
        <w:gridCol w:w="109"/>
        <w:gridCol w:w="109"/>
        <w:gridCol w:w="109"/>
        <w:gridCol w:w="175"/>
        <w:gridCol w:w="175"/>
        <w:gridCol w:w="176"/>
        <w:gridCol w:w="109"/>
        <w:gridCol w:w="109"/>
        <w:gridCol w:w="109"/>
        <w:gridCol w:w="1601"/>
        <w:gridCol w:w="1601"/>
        <w:gridCol w:w="228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Position</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Founder, chairman, director and chief executive officer</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Erica Xiaoyang Wei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financial officer</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Xin 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technology officer</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Xinyan Hao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operating officer</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Iman Schrock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President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Marshall Bernes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Director, Head of Brand Center</w:t>
            </w:r>
          </w:p>
        </w:tc>
      </w:tr>
    </w:tbl>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Biographies for Mr. Wu and Mr. Bernes can be found under the section entitled “Information About our Board of Directors—Director Biographies” with the biographies of the other members of the Board. Biographies for our other executive officers are below:</w:t>
      </w:r>
    </w:p>
    <w:tbl>
      <w:tblPr>
        <w:tblW w:w="10205" w:type="dxa"/>
        <w:jc w:val="left"/>
        <w:tblInd w:w="0" w:type="dxa"/>
        <w:tblLayout w:type="fixed"/>
        <w:tblCellMar>
          <w:top w:w="28" w:type="dxa"/>
          <w:left w:w="28" w:type="dxa"/>
          <w:bottom w:w="28" w:type="dxa"/>
          <w:right w:w="28" w:type="dxa"/>
        </w:tblCellMar>
      </w:tblPr>
      <w:tblGrid>
        <w:gridCol w:w="3351"/>
        <w:gridCol w:w="2838"/>
        <w:gridCol w:w="4016"/>
      </w:tblGrid>
      <w:tr>
        <w:trPr/>
        <w:tc>
          <w:tcPr>
            <w:tcW w:w="3351"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Erica Xiaoyang Wei</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Erica Xiaoyang Wei has served as our chief financial officer since March 2025. Prior to joining the Company as the Vice President of Finance in August 2023 and serving as interim chief financial officer in August 2024, Ms. Wei spent nearly a decade in PwC’s Los Angeles office serving in positions of increasing responsibility, including Senior Manager within the firm’s auditing services practice, from 2013 to 2023. Ms. Wei holds a Bachelor of Science in accounting from the University of Southern California.</w:t>
            </w:r>
          </w:p>
        </w:tc>
      </w:tr>
    </w:tbl>
    <w:tbl>
      <w:tblPr>
        <w:tblW w:w="10205" w:type="dxa"/>
        <w:jc w:val="left"/>
        <w:tblInd w:w="0" w:type="dxa"/>
        <w:tblLayout w:type="fixed"/>
        <w:tblCellMar>
          <w:top w:w="28" w:type="dxa"/>
          <w:left w:w="28" w:type="dxa"/>
          <w:bottom w:w="28" w:type="dxa"/>
          <w:right w:w="28" w:type="dxa"/>
        </w:tblCellMar>
      </w:tblPr>
      <w:tblGrid>
        <w:gridCol w:w="3260"/>
        <w:gridCol w:w="2858"/>
        <w:gridCol w:w="4087"/>
      </w:tblGrid>
      <w:tr>
        <w:trPr/>
        <w:tc>
          <w:tcPr>
            <w:tcW w:w="32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Xin Wan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Xin Wan has served as our chief technology officer since 2014. Prior to joining us, Mr. Wan served as the vice president of the education business unit of Aspire Company of China Mobile from 2010 to 2014 and as channel operation center manager and director in Oriental Standard (Beijing) Talent Service Co., Ltd. from 2007 to 2010. Mr. Wan received his master’s degree in software engineering in 2007 and his bachelor’s degree in software engineering in 2004 from Tsinghua University, and his bachelor’s degree in chemical engineering and English from Dalian University of Technology in 2002.</w:t>
            </w:r>
          </w:p>
        </w:tc>
      </w:tr>
    </w:tbl>
    <w:tbl>
      <w:tblPr>
        <w:tblW w:w="10205" w:type="dxa"/>
        <w:jc w:val="left"/>
        <w:tblInd w:w="0" w:type="dxa"/>
        <w:tblLayout w:type="fixed"/>
        <w:tblCellMar>
          <w:top w:w="28" w:type="dxa"/>
          <w:left w:w="28" w:type="dxa"/>
          <w:bottom w:w="28" w:type="dxa"/>
          <w:right w:w="28" w:type="dxa"/>
        </w:tblCellMar>
      </w:tblPr>
      <w:tblGrid>
        <w:gridCol w:w="3309"/>
        <w:gridCol w:w="2915"/>
        <w:gridCol w:w="3981"/>
      </w:tblGrid>
      <w:tr>
        <w:trPr/>
        <w:tc>
          <w:tcPr>
            <w:tcW w:w="33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Xinyan Hao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Xinyan Hao has served as our chief operating officer since October 2010. Prior to joining us, Mr. Hao served as a lecturer at Oriental Standard (Beijing) Talent Service Co., Ltd. from 2008 to 2010. Mr. Hao received his bachelor’s degree in information management and information systems from Tsinghua University in 2004.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7550"/>
                <wp:effectExtent l="0" t="0" r="0" b="0"/>
                <wp:wrapNone/>
                <wp:docPr id="27" name="Frame2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10205" w:type="dxa"/>
        <w:jc w:val="left"/>
        <w:tblInd w:w="0" w:type="dxa"/>
        <w:tblLayout w:type="fixed"/>
        <w:tblCellMar>
          <w:top w:w="28" w:type="dxa"/>
          <w:left w:w="28" w:type="dxa"/>
          <w:bottom w:w="28" w:type="dxa"/>
          <w:right w:w="28" w:type="dxa"/>
        </w:tblCellMar>
      </w:tblPr>
      <w:tblGrid>
        <w:gridCol w:w="3378"/>
        <w:gridCol w:w="2863"/>
        <w:gridCol w:w="3964"/>
      </w:tblGrid>
      <w:tr>
        <w:trPr/>
        <w:tc>
          <w:tcPr>
            <w:tcW w:w="3378"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62" w:before="23" w:after="283"/>
              <w:jc w:val="left"/>
              <w:rPr>
                <w:rFonts w:ascii="Lato;sans-serif" w:hAnsi="Lato;sans-serif"/>
                <w:b/>
                <w:i/>
                <w:color w:val="005CB9"/>
                <w:sz w:val="24"/>
              </w:rPr>
            </w:pPr>
            <w:r>
              <w:rPr>
                <w:rFonts w:ascii="Lato;sans-serif" w:hAnsi="Lato;sans-serif"/>
                <w:b/>
                <w:i/>
                <w:color w:val="005CB9"/>
                <w:sz w:val="24"/>
              </w:rPr>
              <w:t>Iman Schrock</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Lato;sans-serif" w:hAnsi="Lato;sans-serif"/>
                <w:b w:val="false"/>
                <w:color w:val="000000"/>
                <w:sz w:val="20"/>
              </w:rPr>
            </w:pPr>
            <w:r>
              <w:rPr>
                <w:rFonts w:ascii="Lato;sans-serif" w:hAnsi="Lato;sans-serif"/>
                <w:b w:val="false"/>
                <w:color w:val="000000"/>
                <w:sz w:val="20"/>
              </w:rPr>
              <w:t>Iman Schrock has served as our president since July 2022. Mr. Schrock has over 17 years of experience in the home furnishings industry as vice president of sales and marketing. Prior to joining us, Mr. Schrock served as vice president of Sales of Abbyson Living from August 2007 to July 2022. Mr. Schrock received his bachelor’s degree in information technology from American University in 2006, his MBA in 2007 from University of Wollongong and a PhD in organizational psychology from University of Phoenix in 2017.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7550"/>
                <wp:effectExtent l="0" t="0" r="0" b="0"/>
                <wp:wrapNone/>
                <wp:docPr id="28" name="Frame2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Compensation Discussion and Analysis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This Compensation Discussion and Analysis, or CD&amp;A, section provides an overview and analysis of the material components of our compensation program for our Named Executive Officers identified below. Our compensation program is designed to align executive pay with measurable results intended to create value for shareholders, and utilize compensation as a tool to assist us in attracting and retaining the high-caliber executives that we believe are critical to our long-term success. We believe that the key to our success is the long-term shareholder value that is created by our employees. Our compensation philosophy is weighted towards providing equity awards, and we believe this helps to retain our executives and aligns their interests with those of our shareholders by allowing them to participate in the longer-term success of our company as reflected in share price appreciation. For example, we provide many of our employees, including our Named Executive Officers, with an equity award, which we believe motivates the employee to think of themselves as an owner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Named Executive Officers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 2025, the “Named Executive Officers,” which consist of each person who served as our principal executive officer and the principal financial officer during 2025 and our three next most highly compensated executive officers during 2025 who were serving as executive officers at December 31, 2025, and their positions were as follows:</w:t>
      </w:r>
    </w:p>
    <w:tbl>
      <w:tblPr>
        <w:tblW w:w="4529" w:type="dxa"/>
        <w:jc w:val="left"/>
        <w:tblInd w:w="0" w:type="dxa"/>
        <w:tblLayout w:type="fixed"/>
        <w:tblCellMar>
          <w:top w:w="28" w:type="dxa"/>
          <w:left w:w="28" w:type="dxa"/>
          <w:bottom w:w="28" w:type="dxa"/>
          <w:right w:w="28" w:type="dxa"/>
        </w:tblCellMar>
      </w:tblPr>
      <w:tblGrid>
        <w:gridCol w:w="1449"/>
        <w:gridCol w:w="1272"/>
        <w:gridCol w:w="1808"/>
      </w:tblGrid>
      <w:tr>
        <w:trPr/>
        <w:tc>
          <w:tcPr>
            <w:tcW w:w="144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E6E7E8"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color w:val="005CB9"/>
              </w:rPr>
              <w:t>•</w:t>
            </w:r>
            <w:r>
              <w:rPr>
                <w:rFonts w:ascii="Lato;sans-serif" w:hAnsi="Lato;sans-serif"/>
                <w:b w:val="false"/>
                <w:color w:val="005CB9"/>
                <w:sz w:val="20"/>
              </w:rPr>
              <w:t>Larry Lei Wu, Chief Executive Officer;</w:t>
            </w:r>
          </w:p>
          <w:p>
            <w:pPr>
              <w:pStyle w:val="TableContents"/>
              <w:bidi w:val="0"/>
              <w:spacing w:lineRule="auto" w:line="240" w:before="200" w:after="283"/>
              <w:ind w:left="0" w:right="0" w:hanging="216"/>
              <w:jc w:val="left"/>
              <w:rPr/>
            </w:pPr>
            <w:r>
              <w:rPr>
                <w:color w:val="005CB9"/>
              </w:rPr>
              <w:t>•</w:t>
            </w:r>
            <w:r>
              <w:rPr>
                <w:rFonts w:ascii="Lato;sans-serif" w:hAnsi="Lato;sans-serif"/>
                <w:b w:val="false"/>
                <w:color w:val="005CB9"/>
                <w:sz w:val="20"/>
              </w:rPr>
              <w:t xml:space="preserve">Erica Xiaoyang Wei, Chief Financial Officer; </w:t>
            </w:r>
          </w:p>
          <w:p>
            <w:pPr>
              <w:pStyle w:val="TableContents"/>
              <w:bidi w:val="0"/>
              <w:spacing w:lineRule="auto" w:line="240" w:before="200" w:after="283"/>
              <w:ind w:left="0" w:right="0" w:hanging="216"/>
              <w:jc w:val="left"/>
              <w:rPr/>
            </w:pPr>
            <w:r>
              <w:rPr>
                <w:color w:val="005CB9"/>
              </w:rPr>
              <w:t>•</w:t>
            </w:r>
            <w:r>
              <w:rPr>
                <w:rFonts w:ascii="Lato;sans-serif" w:hAnsi="Lato;sans-serif"/>
                <w:b w:val="false"/>
                <w:color w:val="005CB9"/>
                <w:sz w:val="20"/>
              </w:rPr>
              <w:t>Xinyan Hao, Chief Operating Officer;</w:t>
            </w:r>
          </w:p>
          <w:p>
            <w:pPr>
              <w:pStyle w:val="TableContents"/>
              <w:bidi w:val="0"/>
              <w:spacing w:lineRule="auto" w:line="240" w:before="200" w:after="283"/>
              <w:ind w:left="0" w:right="0" w:hanging="216"/>
              <w:jc w:val="left"/>
              <w:rPr/>
            </w:pPr>
            <w:r>
              <w:rPr>
                <w:color w:val="005CB9"/>
              </w:rPr>
              <w:t>•</w:t>
            </w:r>
            <w:r>
              <w:rPr>
                <w:rFonts w:ascii="Lato;sans-serif" w:hAnsi="Lato;sans-serif"/>
                <w:b w:val="false"/>
                <w:color w:val="005CB9"/>
                <w:sz w:val="20"/>
              </w:rPr>
              <w:t>Xin Wan, Chief Technology Officer; and</w:t>
            </w:r>
          </w:p>
          <w:p>
            <w:pPr>
              <w:pStyle w:val="TableContents"/>
              <w:bidi w:val="0"/>
              <w:spacing w:lineRule="auto" w:line="240" w:before="200" w:after="283"/>
              <w:ind w:left="0" w:right="0" w:hanging="216"/>
              <w:jc w:val="left"/>
              <w:rPr/>
            </w:pPr>
            <w:r>
              <w:rPr>
                <w:color w:val="005CB9"/>
              </w:rPr>
              <w:t>•</w:t>
            </w:r>
            <w:r>
              <w:rPr>
                <w:rFonts w:ascii="Lato;sans-serif" w:hAnsi="Lato;sans-serif"/>
                <w:b w:val="false"/>
                <w:color w:val="005CB9"/>
                <w:sz w:val="20"/>
              </w:rPr>
              <w:t>Marshall Bernes, Head of Brand Center.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7550"/>
                <wp:effectExtent l="0" t="0" r="0" b="0"/>
                <wp:wrapNone/>
                <wp:docPr id="29" name="Frame2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Elements of Our Executive Compensation Program</w:t>
      </w:r>
    </w:p>
    <w:p>
      <w:pPr>
        <w:pStyle w:val="TextBody"/>
        <w:bidi w:val="0"/>
        <w:spacing w:lineRule="auto" w:line="362" w:before="23" w:after="20"/>
        <w:jc w:val="left"/>
        <w:rPr>
          <w:rFonts w:ascii="Lato;sans-serif" w:hAnsi="Lato;sans-serif"/>
          <w:b/>
          <w:i/>
          <w:color w:val="005CB9"/>
          <w:sz w:val="24"/>
        </w:rPr>
      </w:pPr>
      <w:r>
        <w:rPr>
          <w:rFonts w:ascii="Lato;sans-serif" w:hAnsi="Lato;sans-serif"/>
          <w:b/>
          <w:i/>
          <w:color w:val="005CB9"/>
          <w:sz w:val="24"/>
        </w:rPr>
        <w:t>Determination of Compensation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compensation of the Named Executive Officers is generally determined and approved by our Compensation Committee. The Compensation Committee conducts an annual review of compensation policies and practices to ensure adherence to our compensation philosophies. This review assesses whether the total compensation for our Named Executive Officers is fair, reasonable, and competitive. Factors considered include national surveys, publicly available executive compensation data, our industry standing, comparative performance, and the expertise and experience of our Named Executive Officers in their roles.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At our 2025 Annual Meeting of Shareholders, shareholders were provided the opportunity to cast an advisory vote approving the compensation programs for our Named Executive Officers s (“say-on-pay”). That say-on-pay proposal received support from approximately 91.6% of the votes cast by our shareholders entitled to vote who were present virtually or by proxy at the 2025 Annual Meeting of Shareholders, indicating strong stockholder approval of the compensation paid to our Named Executive Officers. The Compensation Committee believes that this vote affirms shareholder support of our approach to executive compensation. The Compensation Committee will continue to consider the outcome of the Company’s say-on-pay advisory votes when making future compensation decisions for our Named Executive Officers.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Compensation Committee is primarily responsible for reviewing and approving the compensation elements for Named Executive Officers, which include base salaries and equity compensation. The Compensation Committee also evaluates the performance of the Chief Executive Officer and other Named Executive Officers for each relevant performance period. The Chief Executive Officer provides annual recommendations to the Compensation Committee regarding the compensation of all Named Executive Officers, excluding himself. The Compensation Committee reviews the Named Executive Officers' performance at least once a year and approves their compensation accordingly.</w:t>
      </w:r>
    </w:p>
    <w:p>
      <w:pPr>
        <w:pStyle w:val="TextBody"/>
        <w:bidi w:val="0"/>
        <w:spacing w:lineRule="auto" w:line="362" w:before="23" w:after="20"/>
        <w:jc w:val="left"/>
        <w:rPr>
          <w:rFonts w:ascii="Lato;sans-serif" w:hAnsi="Lato;sans-serif"/>
          <w:b/>
          <w:i/>
          <w:color w:val="005CB9"/>
          <w:sz w:val="24"/>
        </w:rPr>
      </w:pPr>
      <w:r>
        <w:rPr>
          <w:rFonts w:ascii="Lato;sans-serif" w:hAnsi="Lato;sans-serif"/>
          <w:b/>
          <w:i/>
          <w:color w:val="005CB9"/>
          <w:sz w:val="24"/>
        </w:rPr>
        <w:t>Annual Base Salary</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base salary payable to each Named Executive Officer is intended to provide a fixed component of compensation reflecting the executive’s skill set, experience, role and responsibilities. Our Compensation Committee annually reviews the annual base salaries of our Named Executive Officers and makes adjustments as it deems necessary or appropriate based on publicly available information on other companies in similar size (revenue or market capitalization) and industry. Our Compensation Committee considers such data relevant to, but not determinative of, its consideration of overall executive compensation matters. For each Named Executive Officer, except the Chief Executive Officer, the Compensation Committee receives a performance assessment and salary adjustment recommendation from the Chief Executive Officer.</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annual base salaries for our Named Executive Officers did not change in 2025, except for Mr. Hao and Mr. Wan. In March 2025, our Compensation Committee approved an increase to the annual base salary for each of Mr. Hao and Mr. Wan to $120,000 to adjust for inflation. The base salaries for our Named Executive Officers for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7550"/>
                <wp:effectExtent l="0" t="0" r="0" b="0"/>
                <wp:wrapNone/>
                <wp:docPr id="30" name="Frame2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5920"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452"/>
        <w:gridCol w:w="1894"/>
        <w:gridCol w:w="308"/>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Annual Base Salary ($)</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162,000 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Erica Xiaoyang Wei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307,765 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Xinyan Hao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120,000 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Lato;sans-serif" w:hAnsi="Lato;sans-serif"/>
                <w:b w:val="false"/>
                <w:color w:val="000000"/>
                <w:sz w:val="20"/>
              </w:rPr>
            </w:pPr>
            <w:r>
              <w:rPr>
                <w:rFonts w:ascii="Lato;sans-serif" w:hAnsi="Lato;sans-serif"/>
                <w:b w:val="false"/>
                <w:color w:val="000000"/>
                <w:sz w:val="20"/>
              </w:rPr>
              <w:t>Xin 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120,000 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Marshall Bernes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360,000 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23" w:after="20"/>
        <w:jc w:val="left"/>
        <w:rPr>
          <w:rFonts w:ascii="Lato;sans-serif" w:hAnsi="Lato;sans-serif"/>
          <w:b/>
          <w:i/>
          <w:color w:val="005CB9"/>
          <w:sz w:val="24"/>
        </w:rPr>
      </w:pPr>
      <w:r>
        <w:rPr>
          <w:rFonts w:ascii="Lato;sans-serif" w:hAnsi="Lato;sans-serif"/>
          <w:b/>
          <w:i/>
          <w:color w:val="005CB9"/>
          <w:sz w:val="24"/>
        </w:rPr>
        <w:t xml:space="preserve">Monthly and Annual Cash Incentive Compensation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provide achievement cash awards in recognition of the accomplishments of our executive officers overseeing the performance of the whole Company. These cash awards are based on objective performance criteria and are non-discretionary. Specifically, in addition to their base salary, Mr. Wu, Mr. Hao, Mr. Wan and Mr. Bernes are eligible to receive achievement-based cash awards, which are designed to provide appropriate incentives based on the achievement of performance goals, and to promote and reward the achievement of key short-term strategic projects and business goals, as well as individual performance. The cash award to each of Mr. Wu, Mr. Hao and Mr. Wan is determined based on their achievement of meeting certain Company-wide performance targets or specific business operation targets, as described below. Mr. Bernes' cash award is determined based on his achievement of meeting performance targets for the Brand Center. The amounts that Mr. Wu, Mr. Hao, Mr. Wan and Mr. Bernes earned pursuant to the performance-based awards program are non-discretionary and are reported in the “Non-Equity Incentive Plan Compensation” column of the Summary Compensation Table.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Our Compensation Committee reviewed and approved the cash incentive program for fiscal year 2025 for our Chief Executive Officer, Chief Operating Officer and Chief Technology Officer based on company-wide performance goals, as well as the cash incentive program to our Head of Brand Center (formerly known as the BaaS Program) based on the performance of the Brand Center.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Cash incentive program for our Chief Executive Officer, Chief Operating Officer and Chief Technology Officer are based on company-wide performance goals. Payouts under the company-wide performance plan is payable on a monthly basis as targets are measured every month. The payouts on the company-wide performance plan may start from 0% to an unlimited maximum amount of the target payout, based on the following formula:</w:t>
      </w:r>
    </w:p>
    <w:p>
      <w:pPr>
        <w:pStyle w:val="TextBody"/>
        <w:bidi w:val="0"/>
        <w:spacing w:lineRule="auto" w:line="362" w:before="160" w:after="160"/>
        <w:jc w:val="left"/>
        <w:rPr>
          <w:rFonts w:ascii="Lato;sans-serif" w:hAnsi="Lato;sans-serif"/>
          <w:b/>
          <w:i/>
          <w:color w:val="000000"/>
          <w:sz w:val="20"/>
        </w:rPr>
      </w:pPr>
      <w:r>
        <w:rPr>
          <w:rFonts w:ascii="Lato;sans-serif" w:hAnsi="Lato;sans-serif"/>
          <w:b/>
          <w:i/>
          <w:color w:val="000000"/>
          <w:sz w:val="20"/>
        </w:rPr>
        <w:t>Target Bonus Opportunity x Company Performance Goals x Individual Modifier = 2025 Cash Payout</w:t>
      </w:r>
    </w:p>
    <w:p>
      <w:pPr>
        <w:pStyle w:val="TextBody"/>
        <w:bidi w:val="0"/>
        <w:spacing w:lineRule="auto" w:line="362" w:before="160" w:after="160"/>
        <w:ind w:left="0" w:right="0" w:hanging="360"/>
        <w:jc w:val="left"/>
        <w:rPr/>
      </w:pPr>
      <w:r>
        <w:rPr>
          <w:color w:val="000000"/>
        </w:rPr>
        <w:t>•</w:t>
      </w:r>
      <w:r>
        <w:rPr>
          <w:rFonts w:ascii="Lato;sans-serif" w:hAnsi="Lato;sans-serif"/>
          <w:b/>
          <w:color w:val="000000"/>
          <w:sz w:val="20"/>
        </w:rPr>
        <w:t xml:space="preserve">Target Bonus Opportunity. </w:t>
      </w:r>
      <w:r>
        <w:rPr>
          <w:rFonts w:ascii="Lato;sans-serif" w:hAnsi="Lato;sans-serif"/>
          <w:b w:val="false"/>
          <w:color w:val="000000"/>
          <w:sz w:val="20"/>
        </w:rPr>
        <w:t xml:space="preserve">The target bonus includes a baseline amount as reported in the Grants of Plan-Based Awards table for Mr. Wu, Mr. Hao and Mr. Wan, adjusted by the actual performance against the targets set for the Company Performance Goals described below. The baseline amount is adjusted upward or downward by a fixed percentage, depending on whether actual performance exceeds or falls below the target Company Performance Goals approved by the Compensation Committee. As the baseline amount can be adjusted either downward or upward, the award may be zero if the actual performance is significantly lower than the target goals, and there is no maximum if the actual performance is significantly higher than the target goals. </w:t>
      </w:r>
    </w:p>
    <w:p>
      <w:pPr>
        <w:pStyle w:val="TextBody"/>
        <w:bidi w:val="0"/>
        <w:spacing w:lineRule="auto" w:line="362" w:before="160" w:after="160"/>
        <w:ind w:left="0" w:right="0" w:hanging="360"/>
        <w:jc w:val="left"/>
        <w:rPr/>
      </w:pPr>
      <w:r>
        <w:rPr>
          <w:color w:val="000000"/>
        </w:rPr>
        <w:t>•</w:t>
      </w:r>
      <w:r>
        <w:rPr>
          <w:rFonts w:ascii="Lato;sans-serif" w:hAnsi="Lato;sans-serif"/>
          <w:b/>
          <w:color w:val="000000"/>
          <w:sz w:val="20"/>
        </w:rPr>
        <w:t>Company Performance Goals.</w:t>
      </w:r>
      <w:r>
        <w:rPr>
          <w:color w:val="000000"/>
        </w:rPr>
        <w:t xml:space="preserve"> </w:t>
      </w:r>
      <w:r>
        <w:rPr>
          <w:rFonts w:ascii="Lato;sans-serif" w:hAnsi="Lato;sans-serif"/>
          <w:b w:val="false"/>
          <w:color w:val="000000"/>
          <w:sz w:val="20"/>
        </w:rPr>
        <w:t xml:space="preserve">The Company Performance Goals for fiscal year 2025 were 1P profit and GigaCloud Marketplace GMV. 1P profit means the non-GAAP profit incurred by our internal business units related to the sale of our 1P inventory. GigaCloud Marketplace GMV is the total gross merchandise value of transactions ordered through our GigaCloud Marketplace including GigaCloud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37845"/>
                <wp:effectExtent l="0" t="0" r="0" b="0"/>
                <wp:wrapNone/>
                <wp:docPr id="31" name="Frame28"/>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28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3P and GigaCloud 1P, before any deductions of value added tax, goods and services tax, shipping charges paid by buyers to sellers and any refunds.</w:t>
      </w:r>
    </w:p>
    <w:p>
      <w:pPr>
        <w:pStyle w:val="TextBody"/>
        <w:bidi w:val="0"/>
        <w:spacing w:lineRule="auto" w:line="362" w:before="160" w:after="160"/>
        <w:ind w:left="0" w:right="0" w:hanging="360"/>
        <w:jc w:val="left"/>
        <w:rPr/>
      </w:pPr>
      <w:r>
        <w:rPr>
          <w:color w:val="000000"/>
        </w:rPr>
        <w:t>•</w:t>
      </w:r>
      <w:r>
        <w:rPr>
          <w:rFonts w:ascii="Lato;sans-serif" w:hAnsi="Lato;sans-serif"/>
          <w:b/>
          <w:color w:val="000000"/>
          <w:sz w:val="20"/>
        </w:rPr>
        <w:t>Individual Modifier.</w:t>
      </w:r>
      <w:r>
        <w:rPr>
          <w:color w:val="000000"/>
        </w:rPr>
        <w:t xml:space="preserve"> </w:t>
      </w:r>
      <w:r>
        <w:rPr>
          <w:rFonts w:ascii="Lato;sans-serif" w:hAnsi="Lato;sans-serif"/>
          <w:b w:val="false"/>
          <w:color w:val="000000"/>
          <w:sz w:val="20"/>
        </w:rPr>
        <w:t>For our Chief Executive Officer, the actual cash payout will be equal to the target bonus calculated in the aforementioned formula multiplied by a guaranteed fixed ratio. For our Chief Operating Officer and our Chief Technology Officer, the actual cash payout will be equal to the target bonus calculated in the aforementioned formula and further adjusted upward or downward by a fixed ratio, depending on the overall management evaluation for the fiscal year made by the senior management and the Chief Executive Officer.</w:t>
      </w:r>
    </w:p>
    <w:p>
      <w:pPr>
        <w:pStyle w:val="TextBody"/>
        <w:bidi w:val="0"/>
        <w:spacing w:lineRule="auto" w:line="362" w:before="160" w:after="160"/>
        <w:ind w:left="0" w:right="0" w:hanging="360"/>
        <w:jc w:val="left"/>
        <w:rPr/>
      </w:pPr>
      <w:r>
        <w:rPr>
          <w:color w:val="000000"/>
        </w:rPr>
        <w:t>•</w:t>
      </w:r>
      <w:r>
        <w:rPr>
          <w:rFonts w:ascii="Lato;sans-serif" w:hAnsi="Lato;sans-serif"/>
          <w:b w:val="false"/>
          <w:color w:val="000000"/>
          <w:sz w:val="20"/>
        </w:rPr>
        <w:t>At the end of the fiscal year, an additional one-time award is granted for meeting the annual Company performance goals.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For the Brand Center, a cash award will be provided if certain performance goals, including sales targets, profit of the business unit, and others, approved by the Compensation Committee are met for the year. There are no target, threshold or maximum bonus amounts for this bonus opportunity.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With the assistance of our management's input, our Compensation Committee reviews and approves rigorous performance metrics and sets achievement levels for those metrics in a manner that is challenging to attain. We are not disclosing the actual target figures for 1P profit and GigaCloud Marketplace GMV as these amounts represent confidential financial and operational information, the disclosure of which would result in competitive harm to our business. In 2025, our Named Executive Officers who were eligible for cash awards generally fell short in achieving the company performance goals or targets, primarily due to challenging macroeconomic conditions. These conditions included heightened uncertainty relating to global trade policies, including tariffs, as well as broader economic volatility, which adversely affected business performance and, in turn, the level of achievement against the established targets..</w:t>
      </w:r>
    </w:p>
    <w:p>
      <w:pPr>
        <w:pStyle w:val="TextBody"/>
        <w:bidi w:val="0"/>
        <w:spacing w:lineRule="auto" w:line="362" w:before="23" w:after="20"/>
        <w:jc w:val="left"/>
        <w:rPr>
          <w:rFonts w:ascii="Lato;sans-serif" w:hAnsi="Lato;sans-serif"/>
          <w:b/>
          <w:i/>
          <w:color w:val="005CB9"/>
          <w:sz w:val="24"/>
        </w:rPr>
      </w:pPr>
      <w:r>
        <w:rPr>
          <w:rFonts w:ascii="Lato;sans-serif" w:hAnsi="Lato;sans-serif"/>
          <w:b/>
          <w:i/>
          <w:color w:val="005CB9"/>
          <w:sz w:val="24"/>
        </w:rPr>
        <w:t>Equity-Based Incentive Awards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Our equity-based incentive awards are designed to align our interests and those of our shareholders with those of our employees, including our executive officers. Our Compensation Committee is responsible for approving equity grants. </w:t>
      </w:r>
    </w:p>
    <w:p>
      <w:pPr>
        <w:pStyle w:val="TextBody"/>
        <w:bidi w:val="0"/>
        <w:spacing w:lineRule="auto" w:line="362" w:before="0" w:after="240"/>
        <w:jc w:val="both"/>
        <w:rPr>
          <w:rFonts w:ascii="Lato;sans-serif" w:hAnsi="Lato;sans-serif"/>
          <w:b w:val="false"/>
          <w:color w:val="000000"/>
          <w:sz w:val="20"/>
        </w:rPr>
      </w:pPr>
      <w:r>
        <w:rPr>
          <w:rFonts w:ascii="Lato;sans-serif" w:hAnsi="Lato;sans-serif"/>
          <w:b w:val="false"/>
          <w:color w:val="000000"/>
          <w:sz w:val="20"/>
        </w:rPr>
        <w:t xml:space="preserve">The magnitudes of equity awards granted to our Named Executive Officers were based on a pre-determined fixed pool of equity awards to be issued to all eligible employees for the fiscal year, taking into account the Company's share price, the Company's overall financial performance, historical awards and other macroeconomic factors. The pool will be furthered allocated to eligible employees, including our Named Executive Officers, based on individual's performance for the fiscal year. Except for our Chief Financial Officer as further described below, our Named Executive Officers do not necessarily receive equity award on an annual basis. Therefore, a Named Executive Officer's compensation, as reported in the Summary Compensation Table, may fluctuate materially from year to year depending on whether a grant was made in a particular year.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In 2025, our Compensation Committee determined that granting of restricted share units (“RSUs”) would encourage retention and also align the interest of our Named Executive Officers to those of our shareholders, providing opportunities for our Named Executive Officers to benefit from future successes in our Company through the appreciation of the value of their equity-awards. The equity awards granted to our employees typically vest on one of two schedules: (a) 50% of the equity awards are vested immediately and 50%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7550"/>
                <wp:effectExtent l="0" t="0" r="0" b="0"/>
                <wp:wrapNone/>
                <wp:docPr id="32" name="Frame2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equity awards are subject to a 12-month service condition; or (b) 100% of the equity awards are vested immediately upon grant. The RSUs vested are immediately settled in the Company's Class A ordinary shares. We believe such tailored vesting schedule reflects the need to align the interests of these executives with the long-term success of the Company, encouraging sustained performance and commitment to our strategic goals.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For our Chief Financial Officer, because the responsibilities and performance cannot be directly tied to a specific revenue generating business or operation function, annual awards either in cash or equity equivalent to the amount of $100,000 will be granted. If paid in equity, this award will be granted and vested upon the fulfillment of the service condition for each 12-month period, as stipulated in her employment agreement. In 2025, this award was paid in equity. Equity awards to our Named Executive Officers (including grant amounts and vesting schedules) are determined at the Compensation Committee’s discretion after taking into account other direct compensation elements, the recommendations of our Chief Executive Officer regarding the Named Executive Officers (excluding the Chief Executive Officer) and the landscape in which we compete for executive talent.</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In 2025, the Compensation Committee determined that, given the lower level of the Company's share price at the time the equity awards were approved, it would be appropriate to deliver a portion of the awards in cash rather than in stock-based compensation as cash would be a more effective and efficient means of delivering value than equity. The portion of the approved awards delivered in cash appear in the “Bonus” column of the Summary Compensation Table.</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The following RSUs awards were granted to our Named Executive Officers, the grant date fair values of which are reported in the “Stock Awards” column of the Summary Compensation Table:</w:t>
      </w:r>
    </w:p>
    <w:tbl>
      <w:tblPr>
        <w:tblW w:w="6610"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978"/>
        <w:gridCol w:w="978"/>
        <w:gridCol w:w="1388"/>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Number of RSUs Granted (#)</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60,000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Erica Xiaoyang Wei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13,000</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Lato;sans-serif" w:hAnsi="Lato;sans-serif"/>
                <w:b w:val="false"/>
                <w:color w:val="000000"/>
                <w:sz w:val="20"/>
              </w:rPr>
            </w:pPr>
            <w:r>
              <w:rPr>
                <w:rFonts w:ascii="Lato;sans-serif" w:hAnsi="Lato;sans-serif"/>
                <w:b w:val="false"/>
                <w:color w:val="000000"/>
                <w:sz w:val="20"/>
              </w:rPr>
              <w:t>Xinyan Hao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15,000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Lato;sans-serif" w:hAnsi="Lato;sans-serif"/>
                <w:b w:val="false"/>
                <w:color w:val="000000"/>
                <w:sz w:val="20"/>
              </w:rPr>
            </w:pPr>
            <w:r>
              <w:rPr>
                <w:rFonts w:ascii="Lato;sans-serif" w:hAnsi="Lato;sans-serif"/>
                <w:b w:val="false"/>
                <w:color w:val="000000"/>
                <w:sz w:val="20"/>
              </w:rPr>
              <w:t>Xin 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11,000</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Marshall Bernes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20,000</w:t>
            </w:r>
          </w:p>
        </w:tc>
      </w:tr>
    </w:tbl>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Although we do not have a formal policy on when equity awards will be granted, we typically grant equity awards to our employees, including our Named Executive Officers, in the second quarter of the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Pension and Non-qualified Deferred Compensation Plans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Named Executive Officers do not participate in any pension or non-qualified deferred compensation plans and received no pension benefits or non-qualified deferred compensation during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Other Elements of Compensation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are required by the Hong Kong Mandatory Provident Fund Schemes Ordinance to make monthly contributions to the mandatory provident fund scheme in an amount equal to at least 5% of an employee’s salary subject to a cap of $193 (HK$1,500) per month per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37845"/>
                <wp:effectExtent l="0" t="0" r="0" b="0"/>
                <wp:wrapNone/>
                <wp:docPr id="33" name="Frame30"/>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 2025, we made the following required contributions on behalf of our Named Executive Officers because either all or a portion of their salary was paid in Hong Kong. The amounts below were presented at the rate of HK$7.7833 to US$1.00 for 2025 data, being the noon buying exchange rates in effect as of December 31, 2025 as set forth in the H.10 statistical release of The Board of Governors of the Federal Reserve System:</w:t>
      </w:r>
    </w:p>
    <w:p>
      <w:pPr>
        <w:pStyle w:val="TextBody"/>
        <w:bidi w:val="0"/>
        <w:spacing w:lineRule="auto" w:line="362" w:before="160" w:after="160"/>
        <w:ind w:left="0" w:right="0" w:hanging="360"/>
        <w:jc w:val="left"/>
        <w:rPr/>
      </w:pPr>
      <w:r>
        <w:rPr>
          <w:color w:val="000000"/>
        </w:rPr>
        <w:t>•</w:t>
      </w:r>
      <w:r>
        <w:rPr>
          <w:rFonts w:ascii="Lato;sans-serif" w:hAnsi="Lato;sans-serif"/>
          <w:b w:val="false"/>
          <w:color w:val="000000"/>
          <w:sz w:val="20"/>
        </w:rPr>
        <w:t>Mr. Wu: $2,313 (HK$18,000);</w:t>
      </w:r>
    </w:p>
    <w:p>
      <w:pPr>
        <w:pStyle w:val="TextBody"/>
        <w:bidi w:val="0"/>
        <w:spacing w:lineRule="auto" w:line="362" w:before="160" w:after="160"/>
        <w:ind w:left="0" w:right="0" w:hanging="360"/>
        <w:jc w:val="left"/>
        <w:rPr/>
      </w:pPr>
      <w:r>
        <w:rPr>
          <w:color w:val="000000"/>
        </w:rPr>
        <w:t>•</w:t>
      </w:r>
      <w:r>
        <w:rPr>
          <w:rFonts w:ascii="Lato;sans-serif" w:hAnsi="Lato;sans-serif"/>
          <w:b w:val="false"/>
          <w:color w:val="000000"/>
          <w:sz w:val="20"/>
        </w:rPr>
        <w:t>Mr. Hao: $2,313 (HK$18,000); and</w:t>
      </w:r>
    </w:p>
    <w:p>
      <w:pPr>
        <w:pStyle w:val="TextBody"/>
        <w:bidi w:val="0"/>
        <w:spacing w:lineRule="auto" w:line="362" w:before="160" w:after="160"/>
        <w:ind w:left="0" w:right="0" w:hanging="360"/>
        <w:jc w:val="left"/>
        <w:rPr/>
      </w:pPr>
      <w:r>
        <w:rPr>
          <w:color w:val="000000"/>
        </w:rPr>
        <w:t>•</w:t>
      </w:r>
      <w:r>
        <w:rPr>
          <w:rFonts w:ascii="Lato;sans-serif" w:hAnsi="Lato;sans-serif"/>
          <w:b w:val="false"/>
          <w:color w:val="000000"/>
          <w:sz w:val="20"/>
        </w:rPr>
        <w:t>Mr. Wan: $1,730 (HK$13,469).</w:t>
      </w:r>
    </w:p>
    <w:p>
      <w:pPr>
        <w:pStyle w:val="TextBody"/>
        <w:bidi w:val="0"/>
        <w:spacing w:lineRule="auto" w:line="268" w:before="0" w:after="0"/>
        <w:jc w:val="left"/>
        <w:rPr>
          <w:rFonts w:ascii="Lato;sans-serif" w:hAnsi="Lato;sans-serif"/>
          <w:b w:val="false"/>
          <w:color w:val="000000"/>
          <w:sz w:val="20"/>
        </w:rPr>
      </w:pPr>
      <w:r>
        <w:rPr>
          <w:rFonts w:ascii="Lato;sans-serif" w:hAnsi="Lato;sans-serif"/>
          <w:b w:val="false"/>
          <w:color w:val="000000"/>
          <w:sz w:val="20"/>
        </w:rPr>
        <w:t>Ms. Wei and Mr. Bernes did not receive such contributions as they are not residents of Hong Kong, and their salaries were not paid in Hong Kong.</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Other than above, our Named Executive Officers did not participate in any tax-qualified defined benefit plans, supplemental executive retirement plans, tax-qualified defined contribution plans or non-qualified defined contribution plans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160" w:after="160"/>
        <w:jc w:val="both"/>
        <w:rPr>
          <w:rFonts w:ascii="Lato;sans-serif" w:hAnsi="Lato;sans-serif"/>
          <w:b/>
          <w:color w:val="005CB9"/>
          <w:sz w:val="32"/>
        </w:rPr>
      </w:pPr>
      <w:r>
        <w:rPr>
          <w:rFonts w:ascii="Lato;sans-serif" w:hAnsi="Lato;sans-serif"/>
          <w:b/>
          <w:color w:val="005CB9"/>
          <w:sz w:val="32"/>
        </w:rPr>
        <w:t>Policies on Clawback and Recovery of Compensation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We have adopted a clawback policy, which permits us to recover all or a portion of any incentive-based compensation that was received by a covered executive on or after October 2, 2023, including equity awards, in the event that we are required to prepare an accounting restatement. The amount which may be recovered will be the amount by which the affected compensation exceeded the amount that would have been payable had the financial statements been initially filed as restated. A copy of the clawback policy is filed as an Exhibit 97.1 to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7550"/>
                <wp:effectExtent l="0" t="0" r="0" b="0"/>
                <wp:wrapNone/>
                <wp:docPr id="34" name="Frame3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Compensation Committee Report</w:t>
      </w:r>
    </w:p>
    <w:p>
      <w:pPr>
        <w:pStyle w:val="TextBody"/>
        <w:bidi w:val="0"/>
        <w:spacing w:lineRule="auto" w:line="360" w:before="0" w:after="0"/>
        <w:jc w:val="both"/>
        <w:rPr/>
      </w:pPr>
      <w:r>
        <w:rPr>
          <w:rFonts w:ascii="Lato;sans-serif" w:hAnsi="Lato;sans-serif"/>
          <w:b w:val="false"/>
          <w:i/>
          <w:color w:val="000000"/>
          <w:sz w:val="20"/>
        </w:rPr>
        <w:t>The material in this report is not “soliciting material,” is not deemed “filed” with the SEC, and is not to be incorporated by reference into any filing of GigaCloud Technology Inc under the Securities Act or the Exchange Act.</w:t>
      </w:r>
      <w:r>
        <w:rPr>
          <w:color w:val="000000"/>
        </w:rPr>
        <w:t xml:space="preserve"> </w:t>
      </w:r>
    </w:p>
    <w:p>
      <w:pPr>
        <w:pStyle w:val="TextBody"/>
        <w:bidi w:val="0"/>
        <w:spacing w:before="0" w:after="0"/>
        <w:jc w:val="both"/>
        <w:rPr/>
      </w:pPr>
      <w:r>
        <w:rPr/>
      </w:r>
    </w:p>
    <w:p>
      <w:pPr>
        <w:pStyle w:val="TextBody"/>
        <w:bidi w:val="0"/>
        <w:spacing w:lineRule="auto" w:line="360" w:before="0" w:after="0"/>
        <w:jc w:val="both"/>
        <w:rPr>
          <w:rFonts w:ascii="Lato;sans-serif" w:hAnsi="Lato;sans-serif"/>
          <w:b w:val="false"/>
          <w:color w:val="000000"/>
          <w:sz w:val="20"/>
        </w:rPr>
      </w:pPr>
      <w:r>
        <w:rPr>
          <w:rFonts w:ascii="Lato;sans-serif" w:hAnsi="Lato;sans-serif"/>
          <w:b w:val="false"/>
          <w:color w:val="000000"/>
          <w:sz w:val="20"/>
        </w:rPr>
        <w:t>The Compensation Committee has reviewed and discussed the Compensation Discussion and Analysis with the company’s management. Based on this review and discussion, the Compensation Committee recommended to our board of directors that the Compensation Discussion and Analysis be included in this proxy statement and incorporated by reference into our Annual Report on Form 10-K for the fiscal year ended December 31, 2025.</w:t>
      </w:r>
    </w:p>
    <w:p>
      <w:pPr>
        <w:pStyle w:val="TextBody"/>
        <w:bidi w:val="0"/>
        <w:spacing w:before="0" w:after="0"/>
        <w:jc w:val="both"/>
        <w:rPr/>
      </w:pPr>
      <w:r>
        <w:rPr/>
      </w:r>
    </w:p>
    <w:p>
      <w:pPr>
        <w:pStyle w:val="TextBody"/>
        <w:bidi w:val="0"/>
        <w:spacing w:lineRule="auto" w:line="360" w:before="0" w:after="0"/>
        <w:jc w:val="both"/>
        <w:rPr>
          <w:rFonts w:ascii="Lato;sans-serif" w:hAnsi="Lato;sans-serif"/>
          <w:b w:val="false"/>
          <w:color w:val="000000"/>
          <w:sz w:val="20"/>
        </w:rPr>
      </w:pPr>
      <w:r>
        <w:rPr>
          <w:rFonts w:ascii="Lato;sans-serif" w:hAnsi="Lato;sans-serif"/>
          <w:b w:val="false"/>
          <w:color w:val="000000"/>
          <w:sz w:val="20"/>
        </w:rPr>
        <w:t>The Compensation Committee of GigaCloud Technology Inc</w:t>
      </w:r>
    </w:p>
    <w:p>
      <w:pPr>
        <w:pStyle w:val="TextBody"/>
        <w:bidi w:val="0"/>
        <w:spacing w:before="0" w:after="0"/>
        <w:jc w:val="both"/>
        <w:rPr/>
      </w:pPr>
      <w:r>
        <w:rPr/>
      </w:r>
    </w:p>
    <w:p>
      <w:pPr>
        <w:pStyle w:val="TextBody"/>
        <w:bidi w:val="0"/>
        <w:spacing w:lineRule="auto" w:line="360" w:before="0" w:after="0"/>
        <w:jc w:val="left"/>
        <w:rPr>
          <w:rFonts w:ascii="Lato;sans-serif" w:hAnsi="Lato;sans-serif"/>
          <w:b w:val="false"/>
          <w:color w:val="000000"/>
          <w:sz w:val="20"/>
        </w:rPr>
      </w:pPr>
      <w:r>
        <w:rPr>
          <w:rFonts w:ascii="Lato;sans-serif" w:hAnsi="Lato;sans-serif"/>
          <w:b w:val="false"/>
          <w:color w:val="000000"/>
          <w:sz w:val="20"/>
        </w:rPr>
        <w:t>Jan William Visser, Chairman</w:t>
      </w:r>
    </w:p>
    <w:p>
      <w:pPr>
        <w:pStyle w:val="TextBody"/>
        <w:bidi w:val="0"/>
        <w:spacing w:lineRule="auto" w:line="360" w:before="0" w:after="0"/>
        <w:jc w:val="left"/>
        <w:rPr>
          <w:rFonts w:ascii="Lato;sans-serif" w:hAnsi="Lato;sans-serif"/>
          <w:b w:val="false"/>
          <w:color w:val="000000"/>
          <w:sz w:val="20"/>
        </w:rPr>
      </w:pPr>
      <w:r>
        <w:rPr>
          <w:rFonts w:ascii="Lato;sans-serif" w:hAnsi="Lato;sans-serif"/>
          <w:b w:val="false"/>
          <w:color w:val="000000"/>
          <w:sz w:val="20"/>
        </w:rPr>
        <w:t>Zhiwu Chen</w:t>
      </w:r>
    </w:p>
    <w:p>
      <w:pPr>
        <w:pStyle w:val="TextBody"/>
        <w:bidi w:val="0"/>
        <w:spacing w:lineRule="auto" w:line="360" w:before="40" w:after="283"/>
        <w:jc w:val="left"/>
        <w:rPr>
          <w:rFonts w:ascii="Lato;sans-serif" w:hAnsi="Lato;sans-serif"/>
          <w:b w:val="false"/>
          <w:color w:val="000000"/>
          <w:sz w:val="20"/>
        </w:rPr>
      </w:pPr>
      <w:r>
        <w:rPr>
          <w:rFonts w:ascii="Lato;sans-serif" w:hAnsi="Lato;sans-serif"/>
          <w:b w:val="false"/>
          <w:color w:val="000000"/>
          <w:sz w:val="20"/>
        </w:rPr>
        <w:t>Kenneth E Lebensburger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7550"/>
                <wp:effectExtent l="0" t="0" r="0" b="0"/>
                <wp:wrapNone/>
                <wp:docPr id="35" name="Frame3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Summary Compensation Table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following table presents summary information regarding the total compensation that was awarded to, earned by or paid to the Named Executive Officers for services rendered during the years ended December 31, 2025, 2024 and 2023.</w:t>
      </w:r>
    </w:p>
    <w:tbl>
      <w:tblPr>
        <w:tblW w:w="1110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70"/>
        <w:gridCol w:w="170"/>
        <w:gridCol w:w="171"/>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271"/>
        <w:gridCol w:w="1018"/>
        <w:gridCol w:w="152"/>
        <w:gridCol w:w="109"/>
        <w:gridCol w:w="109"/>
        <w:gridCol w:w="109"/>
        <w:gridCol w:w="328"/>
        <w:gridCol w:w="930"/>
        <w:gridCol w:w="183"/>
        <w:gridCol w:w="109"/>
        <w:gridCol w:w="109"/>
        <w:gridCol w:w="109"/>
        <w:gridCol w:w="196"/>
        <w:gridCol w:w="87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Name and</w:t>
              <w:br/>
              <w:t>Principal</w:t>
              <w:b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Salary</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Bonus($)</w:t>
            </w:r>
            <w:r>
              <w:rPr>
                <w:rFonts w:ascii="Lato;sans-serif" w:hAnsi="Lato;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Stock</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Awards</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Non-Equity</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Incentive Plan</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Compensation</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All Other</w:t>
            </w:r>
          </w:p>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 xml:space="preserve">Compensation </w:t>
            </w:r>
          </w:p>
          <w:p>
            <w:pPr>
              <w:pStyle w:val="TableContents"/>
              <w:bidi w:val="0"/>
              <w:spacing w:lineRule="auto" w:line="240" w:before="0" w:after="0"/>
              <w:jc w:val="center"/>
              <w:rPr/>
            </w:pPr>
            <w:r>
              <w:rPr>
                <w:rFonts w:ascii="Lato;sans-serif" w:hAnsi="Lato;sans-serif"/>
                <w:b/>
                <w:color w:val="000000"/>
                <w:sz w:val="16"/>
              </w:rPr>
              <w:t>($)</w:t>
            </w:r>
            <w:r>
              <w:rPr>
                <w:rFonts w:ascii="Lato;sans-serif" w:hAnsi="Lato;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w:t>
              <w:br/>
              <w:t>($)</w:t>
            </w:r>
          </w:p>
        </w:tc>
      </w:tr>
      <w:tr>
        <w:trPr/>
        <w:tc>
          <w:tcPr>
            <w:tcW w:w="94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4"/>
              </w:rPr>
            </w:pPr>
            <w:r>
              <w:rPr>
                <w:rFonts w:ascii="Lato;sans-serif" w:hAnsi="Lato;sans-serif"/>
                <w:b w:val="false"/>
                <w:color w:val="000000"/>
                <w:sz w:val="14"/>
              </w:rPr>
              <w:t>Larry Lei Wu,</w:t>
            </w:r>
          </w:p>
          <w:p>
            <w:pPr>
              <w:pStyle w:val="TableContents"/>
              <w:bidi w:val="0"/>
              <w:spacing w:lineRule="auto" w:line="240" w:before="0" w:after="0"/>
              <w:jc w:val="left"/>
              <w:rPr>
                <w:rFonts w:ascii="Lato;sans-serif" w:hAnsi="Lato;sans-serif"/>
                <w:b w:val="false"/>
                <w:i/>
                <w:color w:val="000000"/>
                <w:sz w:val="14"/>
              </w:rPr>
            </w:pPr>
            <w:r>
              <w:rPr>
                <w:rFonts w:ascii="Lato;sans-serif" w:hAnsi="Lato;sans-serif"/>
                <w:b w:val="false"/>
                <w:i/>
                <w:color w:val="000000"/>
                <w:sz w:val="14"/>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694,800 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174,496 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1,933,609 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214,710 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3,481,027 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122,862 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287,166 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4"/>
              </w:rPr>
            </w:pPr>
            <w:r>
              <w:rPr>
                <w:rFonts w:ascii="Lato;sans-serif" w:hAnsi="Lato;sans-serif"/>
                <w:b w:val="false"/>
                <w:color w:val="000000"/>
                <w:sz w:val="14"/>
              </w:rPr>
              <w:t xml:space="preserve">Erica Xiaoyang Wei, </w:t>
            </w:r>
          </w:p>
          <w:p>
            <w:pPr>
              <w:pStyle w:val="TableContents"/>
              <w:bidi w:val="0"/>
              <w:spacing w:lineRule="auto" w:line="240" w:before="0" w:after="0"/>
              <w:jc w:val="left"/>
              <w:rPr>
                <w:rFonts w:ascii="Lato;sans-serif" w:hAnsi="Lato;sans-serif"/>
                <w:b w:val="false"/>
                <w:i/>
                <w:color w:val="000000"/>
                <w:sz w:val="14"/>
              </w:rPr>
            </w:pPr>
            <w:r>
              <w:rPr>
                <w:rFonts w:ascii="Lato;sans-serif" w:hAnsi="Lato;sans-serif"/>
                <w:b w:val="false"/>
                <w:i/>
                <w:color w:val="000000"/>
                <w:sz w:val="14"/>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319,602 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150,540 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665,142 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272,432 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184,740 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457,172 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4"/>
              </w:rPr>
            </w:pPr>
            <w:r>
              <w:rPr>
                <w:rFonts w:ascii="Lato;sans-serif" w:hAnsi="Lato;sans-serif"/>
                <w:b w:val="false"/>
                <w:color w:val="000000"/>
                <w:sz w:val="14"/>
              </w:rPr>
              <w:t>Xinyan Hao,</w:t>
            </w:r>
          </w:p>
          <w:p>
            <w:pPr>
              <w:pStyle w:val="TableContents"/>
              <w:bidi w:val="0"/>
              <w:spacing w:lineRule="auto" w:line="240" w:before="0" w:after="0"/>
              <w:jc w:val="left"/>
              <w:rPr/>
            </w:pPr>
            <w:r>
              <w:rPr>
                <w:rFonts w:ascii="Lato;sans-serif" w:hAnsi="Lato;sans-serif"/>
                <w:b w:val="false"/>
                <w:i/>
                <w:color w:val="000000"/>
                <w:sz w:val="14"/>
              </w:rPr>
              <w:t>Chief Operating Officer</w:t>
            </w:r>
            <w:r>
              <w:rPr>
                <w:rFonts w:ascii="Lato;sans-serif" w:hAnsi="Lato;sans-serif"/>
                <w:b w:val="false"/>
                <w:i/>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112,665 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618,261 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775,500 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173,117 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1,009,267 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221,225 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4"/>
              </w:rPr>
            </w:pPr>
            <w:r>
              <w:rPr>
                <w:rFonts w:ascii="Lato;sans-serif" w:hAnsi="Lato;sans-serif"/>
                <w:b w:val="false"/>
                <w:color w:val="000000"/>
                <w:sz w:val="14"/>
              </w:rPr>
              <w:t xml:space="preserve">Xin Wan, </w:t>
            </w:r>
          </w:p>
          <w:p>
            <w:pPr>
              <w:pStyle w:val="TableContents"/>
              <w:bidi w:val="0"/>
              <w:spacing w:lineRule="auto" w:line="240" w:before="0" w:after="0"/>
              <w:jc w:val="left"/>
              <w:rPr/>
            </w:pPr>
            <w:r>
              <w:rPr>
                <w:rFonts w:ascii="Lato;sans-serif" w:hAnsi="Lato;sans-serif"/>
                <w:b w:val="false"/>
                <w:i/>
                <w:color w:val="000000"/>
                <w:sz w:val="14"/>
              </w:rPr>
              <w:t>Chief Technology Officer</w:t>
            </w:r>
            <w:r>
              <w:rPr>
                <w:rFonts w:ascii="Lato;sans-serif" w:hAnsi="Lato;sans-serif"/>
                <w:b w:val="false"/>
                <w:i/>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104,583 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127,380 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104,625 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503,319 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620,400 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169,682 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1,891 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850,306 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221,000 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2,155 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281,488 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4"/>
              </w:rPr>
            </w:pPr>
            <w:r>
              <w:rPr>
                <w:rFonts w:ascii="Lato;sans-serif" w:hAnsi="Lato;sans-serif"/>
                <w:b w:val="false"/>
                <w:color w:val="000000"/>
                <w:sz w:val="14"/>
              </w:rPr>
              <w:t>Marshall Bernes,</w:t>
            </w:r>
          </w:p>
          <w:p>
            <w:pPr>
              <w:pStyle w:val="TableContents"/>
              <w:bidi w:val="0"/>
              <w:spacing w:lineRule="auto" w:line="240" w:before="0" w:after="0"/>
              <w:jc w:val="left"/>
              <w:rPr/>
            </w:pPr>
            <w:r>
              <w:rPr>
                <w:rFonts w:ascii="Lato;sans-serif" w:hAnsi="Lato;sans-serif"/>
                <w:b w:val="false"/>
                <w:i/>
                <w:color w:val="000000"/>
                <w:sz w:val="14"/>
              </w:rPr>
              <w:t>Head of Brand Center</w:t>
            </w:r>
            <w:r>
              <w:rPr>
                <w:rFonts w:ascii="Lato;sans-serif" w:hAnsi="Lato;sans-serif"/>
                <w:b w:val="false"/>
                <w:i/>
                <w:color w:val="000000"/>
                <w:sz w:val="9"/>
              </w:rPr>
              <w:t>(</w:t>
            </w:r>
            <w:r>
              <w:rPr>
                <w:rFonts w:ascii="Lato;sans-serif" w:hAnsi="Lato;sans-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36,458 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628,058 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(1)Dollar value of base salary earned during the applicable fiscal year, including accrued but unused vacation time. </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(2)See “Equity-Based Incentive Awards” in the Compensation Discussion and Analysis for more information. </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(3)The amounts reported in the “Stock Awards” column represent the aggregate grant date fair value of fully vested stock awards upon grant during the applicable year, calculated in accordance with Financial Accounting Standards Board, or FASB, Accounting Standards Codification, or ASC, Topic 718. The assumptions used in calculating the grant date fair value of the awards reported in this column are set forth in Note 13 to our audited financial statements in the 2025 Annual Report. </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(4)Amounts reflect non-discretionary cash awards for meeting certain Company-wide performance targets earned by Mr. Wu, Mr. Hao and Mr. Wan, and Brand Center performance based cash awards earned by Mr. Bernes.</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(5)Amounts reflect monthly contributions made by us pursuant to the Hong Kong Mandatory Provident Fund Schemes Ordinance to the mandatory provident fund scheme on behalf of certain executives. Such amounts were made by us pursuant to the Hong Kong Mandatory Provident Fund Schemes Ordinance to the mandatory provident fund scheme only. These amounts were paid in HK$ and converted into and presented in U.S. dollars at the rate of HK$7.7833 to US$1.00 for 2025 data, as set forth in the H.10 statistical release of The Board of Governors of the Federal Reserve System.</w:t>
      </w:r>
    </w:p>
    <w:p>
      <w:pPr>
        <w:pStyle w:val="TextBody"/>
        <w:bidi w:val="0"/>
        <w:spacing w:lineRule="auto" w:line="36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(6)Mr. Hao's annual base salary was increased to $120,000 effective March 2025. </w:t>
      </w:r>
    </w:p>
    <w:p>
      <w:pPr>
        <w:pStyle w:val="TextBody"/>
        <w:bidi w:val="0"/>
        <w:spacing w:lineRule="auto" w:line="362" w:before="160" w:after="160"/>
        <w:ind w:left="0" w:right="0" w:hanging="360"/>
        <w:jc w:val="left"/>
        <w:rPr>
          <w:rFonts w:ascii="Lato;sans-serif" w:hAnsi="Lato;sans-serif"/>
          <w:b w:val="false"/>
          <w:color w:val="000000"/>
          <w:sz w:val="16"/>
        </w:rPr>
      </w:pPr>
      <w:r>
        <w:rPr>
          <w:rFonts w:ascii="Lato;sans-serif" w:hAnsi="Lato;sans-serif"/>
          <w:b w:val="false"/>
          <w:color w:val="000000"/>
          <w:sz w:val="16"/>
        </w:rPr>
        <w:t>(7)Mr. Wan's annual base salary was increased to $120,000 effective March 2025.</w:t>
      </w:r>
    </w:p>
    <w:p>
      <w:pPr>
        <w:pStyle w:val="TextBody"/>
        <w:bidi w:val="0"/>
        <w:spacing w:lineRule="auto" w:line="362" w:before="160" w:after="160"/>
        <w:ind w:left="0" w:right="0" w:hanging="360"/>
        <w:jc w:val="left"/>
        <w:rPr>
          <w:rFonts w:ascii="Lato;sans-serif" w:hAnsi="Lato;sans-serif"/>
          <w:b w:val="false"/>
          <w:color w:val="000000"/>
          <w:sz w:val="16"/>
        </w:rPr>
      </w:pPr>
      <w:r>
        <w:rPr>
          <w:rFonts w:ascii="Lato;sans-serif" w:hAnsi="Lato;sans-serif"/>
          <w:b w:val="false"/>
          <w:color w:val="000000"/>
          <w:sz w:val="16"/>
        </w:rPr>
        <w:t>(8)Mr. Bernes joined us as our Head of Brand Center (formerly known as the Baas Program) in 2024 and was not a Named Executive Officer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7550"/>
                <wp:effectExtent l="0" t="0" r="0" b="0"/>
                <wp:wrapNone/>
                <wp:docPr id="36" name="Frame3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Grants of Plan-Based Awards</w:t>
      </w:r>
    </w:p>
    <w:tbl>
      <w:tblPr>
        <w:tblW w:w="10205" w:type="dxa"/>
        <w:jc w:val="left"/>
        <w:tblInd w:w="0" w:type="dxa"/>
        <w:tblLayout w:type="fixed"/>
        <w:tblCellMar>
          <w:top w:w="28" w:type="dxa"/>
          <w:left w:w="28" w:type="dxa"/>
          <w:bottom w:w="28" w:type="dxa"/>
          <w:right w:w="28" w:type="dxa"/>
        </w:tblCellMar>
      </w:tblPr>
      <w:tblGrid>
        <w:gridCol w:w="385"/>
        <w:gridCol w:w="270"/>
        <w:gridCol w:w="216"/>
        <w:gridCol w:w="109"/>
        <w:gridCol w:w="109"/>
        <w:gridCol w:w="109"/>
        <w:gridCol w:w="385"/>
        <w:gridCol w:w="215"/>
        <w:gridCol w:w="216"/>
        <w:gridCol w:w="109"/>
        <w:gridCol w:w="109"/>
        <w:gridCol w:w="109"/>
        <w:gridCol w:w="195"/>
        <w:gridCol w:w="195"/>
        <w:gridCol w:w="196"/>
        <w:gridCol w:w="109"/>
        <w:gridCol w:w="109"/>
        <w:gridCol w:w="109"/>
        <w:gridCol w:w="285"/>
        <w:gridCol w:w="285"/>
        <w:gridCol w:w="286"/>
        <w:gridCol w:w="126"/>
        <w:gridCol w:w="126"/>
        <w:gridCol w:w="126"/>
        <w:gridCol w:w="227"/>
        <w:gridCol w:w="855"/>
        <w:gridCol w:w="126"/>
        <w:gridCol w:w="126"/>
        <w:gridCol w:w="126"/>
        <w:gridCol w:w="126"/>
        <w:gridCol w:w="285"/>
        <w:gridCol w:w="285"/>
        <w:gridCol w:w="286"/>
        <w:gridCol w:w="115"/>
        <w:gridCol w:w="115"/>
        <w:gridCol w:w="116"/>
        <w:gridCol w:w="358"/>
        <w:gridCol w:w="358"/>
        <w:gridCol w:w="360"/>
        <w:gridCol w:w="115"/>
        <w:gridCol w:w="115"/>
        <w:gridCol w:w="116"/>
        <w:gridCol w:w="268"/>
        <w:gridCol w:w="1008"/>
        <w:gridCol w:w="231"/>
      </w:tblGrid>
      <w:tr>
        <w:trPr/>
        <w:tc>
          <w:tcPr>
            <w:tcW w:w="3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Estimated Possible Payouts Under Non-Equity Incentive Plan Awards</w:t>
            </w:r>
            <w:r>
              <w:rPr>
                <w:rFonts w:ascii="Lato;sans-serif" w:hAnsi="Lato;sans-serif"/>
                <w:b/>
                <w:color w:val="000000"/>
                <w:sz w:val="9"/>
              </w:rPr>
              <w:t>(1)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All Other Stock</w:t>
              <w:br/>
              <w:t>Awards: Number of Shares of Stock or Units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Lato;sans-serif" w:hAnsi="Lato;sans-serif"/>
                <w:b/>
                <w:color w:val="000000"/>
                <w:sz w:val="14"/>
              </w:rPr>
              <w:t>Grant Date Fair Value of Stock and Option Awards ($)</w:t>
            </w:r>
            <w:r>
              <w:rPr>
                <w:rFonts w:ascii="Lato;sans-serif" w:hAnsi="Lato;sans-serif"/>
                <w:b/>
                <w:color w:val="000000"/>
                <w:sz w:val="9"/>
              </w:rPr>
              <w:t>(2)</w:t>
            </w:r>
          </w:p>
        </w:tc>
      </w:tr>
      <w:tr>
        <w:trPr/>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Threshold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Target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Maximum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Cash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219,600 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April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60,000</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694,800 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Erica Xiaoyang Wei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Cash 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April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13,000</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150,540 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Xinyan Hao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Cash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146,400 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April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15,000</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173,700 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Xin 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Cash 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146,400 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April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11,000</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127,380 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Marshall Bernes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Cash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April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20,000</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231,600 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(1)The amounts in these columns represent the threshold, target and maximum amounts of potential annual cash incentive awards that may be earned by our Named Executive Officers during fiscal year 2025. The actual payouts earned under the cash component are reflected in the “Non-equity incentive plan compensation” column of the “Summary Compensation Table”</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(2)Represents the grant date fair value of the award as computed in accordance with FASB ASC Topic 718. The assumptions used in calculating the grant date fair value of the awards reported in this column are set forth in Note 13 to our audited financial statements in the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Outstanding Equity Awards at Fiscal Year-End</w:t>
      </w:r>
    </w:p>
    <w:p>
      <w:pPr>
        <w:pStyle w:val="TextBody"/>
        <w:bidi w:val="0"/>
        <w:spacing w:lineRule="auto" w:line="362" w:before="0" w:after="24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the outstanding equity awards held by each of the Named Executive Officers as of December 31, 2025. None of our Named Executive Officers held any options to purchase our securities as of December 31, 2025.</w:t>
      </w:r>
    </w:p>
    <w:tbl>
      <w:tblPr>
        <w:tblW w:w="10205" w:type="dxa"/>
        <w:jc w:val="left"/>
        <w:tblInd w:w="0" w:type="dxa"/>
        <w:tblLayout w:type="fixed"/>
        <w:tblCellMar>
          <w:top w:w="28" w:type="dxa"/>
          <w:left w:w="28" w:type="dxa"/>
          <w:bottom w:w="28" w:type="dxa"/>
          <w:right w:w="28" w:type="dxa"/>
        </w:tblCellMar>
      </w:tblPr>
      <w:tblGrid>
        <w:gridCol w:w="463"/>
        <w:gridCol w:w="358"/>
        <w:gridCol w:w="259"/>
        <w:gridCol w:w="109"/>
        <w:gridCol w:w="109"/>
        <w:gridCol w:w="109"/>
        <w:gridCol w:w="272"/>
        <w:gridCol w:w="220"/>
        <w:gridCol w:w="221"/>
        <w:gridCol w:w="109"/>
        <w:gridCol w:w="109"/>
        <w:gridCol w:w="109"/>
        <w:gridCol w:w="620"/>
        <w:gridCol w:w="495"/>
        <w:gridCol w:w="497"/>
        <w:gridCol w:w="109"/>
        <w:gridCol w:w="109"/>
        <w:gridCol w:w="109"/>
        <w:gridCol w:w="669"/>
        <w:gridCol w:w="429"/>
        <w:gridCol w:w="431"/>
        <w:gridCol w:w="109"/>
        <w:gridCol w:w="109"/>
        <w:gridCol w:w="109"/>
        <w:gridCol w:w="603"/>
        <w:gridCol w:w="603"/>
        <w:gridCol w:w="605"/>
        <w:gridCol w:w="109"/>
        <w:gridCol w:w="109"/>
        <w:gridCol w:w="109"/>
        <w:gridCol w:w="530"/>
        <w:gridCol w:w="530"/>
        <w:gridCol w:w="765"/>
      </w:tblGrid>
      <w:tr>
        <w:trPr/>
        <w:tc>
          <w:tcPr>
            <w:tcW w:w="4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4"/>
              </w:rPr>
            </w:pPr>
            <w:r>
              <w:rPr>
                <w:rFonts w:ascii="Lato;sans-serif" w:hAnsi="Lato;sans-serif"/>
                <w:b/>
                <w:color w:val="000000"/>
                <w:sz w:val="14"/>
              </w:rPr>
              <w:t>Share Awards</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Market Value of Shares or Units of Stock That Have</w:t>
            </w:r>
          </w:p>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Equity Incentive</w:t>
            </w:r>
          </w:p>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Plan Awards:</w:t>
            </w:r>
          </w:p>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Number of Unearned Shares, Units or Other Rights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Equity Incentive Plan</w:t>
            </w:r>
          </w:p>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Awards: Market or Payout</w:t>
            </w:r>
          </w:p>
          <w:p>
            <w:pPr>
              <w:pStyle w:val="TableContents"/>
              <w:bidi w:val="0"/>
              <w:spacing w:lineRule="auto" w:line="240" w:before="0" w:after="0"/>
              <w:jc w:val="left"/>
              <w:rPr>
                <w:rFonts w:ascii="Lato;sans-serif" w:hAnsi="Lato;sans-serif"/>
                <w:b/>
                <w:color w:val="000000"/>
                <w:sz w:val="14"/>
              </w:rPr>
            </w:pPr>
            <w:r>
              <w:rPr>
                <w:rFonts w:ascii="Lato;sans-serif" w:hAnsi="Lato;sans-serif"/>
                <w:b/>
                <w:color w:val="000000"/>
                <w:sz w:val="14"/>
              </w:rPr>
              <w:t>Value of Unearned Shares, Units or Other Rights That Have Not Vested ($)</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Erica Xiaoyang Wei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Xinyan Hao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April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7,500 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Lato;sans-serif" w:hAnsi="Lato;sans-serif"/>
                <w:b w:val="false"/>
                <w:color w:val="000000"/>
                <w:sz w:val="8"/>
              </w:rPr>
            </w:pPr>
            <w:r>
              <w:rPr>
                <w:rFonts w:ascii="Lato;sans-serif" w:hAnsi="Lato;sans-serif"/>
                <w:b w:val="false"/>
                <w:color w:val="000000"/>
                <w:sz w:val="8"/>
              </w:rPr>
              <w:t>(1)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86,850 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Xin 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April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5,500 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Lato;sans-serif" w:hAnsi="Lato;sans-serif"/>
                <w:b w:val="false"/>
                <w:color w:val="000000"/>
                <w:sz w:val="8"/>
              </w:rPr>
            </w:pPr>
            <w:r>
              <w:rPr>
                <w:rFonts w:ascii="Lato;sans-serif" w:hAnsi="Lato;sans-serif"/>
                <w:b w:val="false"/>
                <w:color w:val="000000"/>
                <w:sz w:val="8"/>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63,690 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Marshall Bernes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(1)These RSUs, which were granted on April 10, 2025, vest 50% at grant and 50% 12 months after the grant date based on continued service through such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7550"/>
                <wp:effectExtent l="0" t="0" r="0" b="0"/>
                <wp:wrapNone/>
                <wp:docPr id="37" name="Frame3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34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 xml:space="preserve">Option Exercises and Stock Vested </w:t>
      </w:r>
    </w:p>
    <w:p>
      <w:pPr>
        <w:pStyle w:val="TextBody"/>
        <w:bidi w:val="0"/>
        <w:spacing w:lineRule="auto" w:line="362" w:before="0" w:after="24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the vesting during 2025 of RSUs previously granted to the Named Executive Officers. Our Named Executive Officers do not hold any stock options.</w:t>
      </w:r>
    </w:p>
    <w:tbl>
      <w:tblPr>
        <w:tblW w:w="9562" w:type="dxa"/>
        <w:jc w:val="left"/>
        <w:tblInd w:w="0" w:type="dxa"/>
        <w:tblLayout w:type="fixed"/>
        <w:tblCellMar>
          <w:top w:w="28" w:type="dxa"/>
          <w:left w:w="28" w:type="dxa"/>
          <w:bottom w:w="28" w:type="dxa"/>
          <w:right w:w="28" w:type="dxa"/>
        </w:tblCellMar>
      </w:tblPr>
      <w:tblGrid>
        <w:gridCol w:w="629"/>
        <w:gridCol w:w="555"/>
        <w:gridCol w:w="556"/>
        <w:gridCol w:w="109"/>
        <w:gridCol w:w="109"/>
        <w:gridCol w:w="109"/>
        <w:gridCol w:w="1363"/>
        <w:gridCol w:w="1363"/>
        <w:gridCol w:w="1368"/>
        <w:gridCol w:w="109"/>
        <w:gridCol w:w="109"/>
        <w:gridCol w:w="109"/>
        <w:gridCol w:w="544"/>
        <w:gridCol w:w="2133"/>
        <w:gridCol w:w="397"/>
      </w:tblGrid>
      <w:tr>
        <w:trPr/>
        <w:tc>
          <w:tcPr>
            <w:tcW w:w="6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Stock Awards</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Number of Shares Acquired on Vesting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Value Realized on Vesting ($)</w:t>
            </w:r>
            <w:r>
              <w:rPr>
                <w:rFonts w:ascii="Lato;sans-serif" w:hAnsi="Lato;sans-serif"/>
                <w:b/>
                <w:color w:val="000000"/>
                <w:sz w:val="10"/>
              </w:rPr>
              <w:t>(1)</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Larry Lei Wu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2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694,800 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Erica Xiaoyang Wei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2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150,540 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Xinyan Hao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231,600 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Xin 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2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179,490 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Marshall Bernes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2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231,600 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pPr>
      <w:r>
        <w:rPr>
          <w:rFonts w:ascii="Lato;sans-serif" w:hAnsi="Lato;sans-serif"/>
          <w:b w:val="false"/>
          <w:color w:val="000000"/>
          <w:sz w:val="16"/>
        </w:rPr>
        <w:t>(1)</w:t>
      </w:r>
      <w:r>
        <w:rPr>
          <w:color w:val="000000"/>
        </w:rPr>
        <w:t>“</w:t>
      </w:r>
      <w:r>
        <w:rPr>
          <w:rFonts w:ascii="Lato;sans-serif" w:hAnsi="Lato;sans-serif"/>
          <w:b w:val="false"/>
          <w:color w:val="000000"/>
          <w:sz w:val="16"/>
        </w:rPr>
        <w:t>Value Realized on Vesting” is calculated by multiplying the number of shares vested by the market value of our Class A ordinary shares on the date when the shares are granted and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Employment Agreements with the Named Executive Officers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have entered into a written, at-will employment agreement with each of the Named Executive Officers that govern the terms and conditions of their service relationship with us, including the terms and conditions related to their compensation and benefits.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employment agreements entitle each of our Named Executive Officers to receive cash compensation, participate in long-term compensation arrangements, including our share incentive plans, and participate in all of our employee benefit plans and arrangements made available by us to our similarly situated executives, including any retirement plan and medical insurance plan. The compensation received by our Named Executive Officers in accordance with these employment agreements is disclosed in the “Summary Compensation Table” in this proxy statement.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employment agreements for our Named Executive Officers also provide for payments and benefits in connection with certain terminations of employment, as described below under “Potential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Potential Payments upon Termination or Change in Control</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Pursuant to the employment agreements with our Named Executive Officers, if we terminate their employment without cause (as defined in the employment agreements) or if they resign for good reason (as defined in the employment agreements), we are required to continue to pay and otherwise provide to each of our Named Executive Officers, during the relevant notice period (as defined below), all compensation, base salary and previously earned but unpaid incentive compensation, if any, and shall continue to allow them to participate in any benefit plans in accordance with the terms of such plans during such notice period. In addition, while we have no obligation to pay any further severance, we may pay any such terminating Named Executive Officer any such amount as may be agreed between us and the Named Executive Officers. The relevant notice period means 30 days’ notice for a termination by us without cause and 60 day’s notice for a termination by the Named Executive Officer with good reason and applies to all executive officers. Regular salary will be paid during the notice period. Our Chief Financial Officer would have received a fully vested cash or equity award with a value of $100,000 assuming a hypothetical termination of employment effective as of December 31, 2025 by us without cause or by the executive for good reason within twelve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7550"/>
                <wp:effectExtent l="0" t="0" r="0" b="0"/>
                <wp:wrapNone/>
                <wp:docPr id="38" name="Frame3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following a change in control. None of the other Named Executive Officers would have received an equity award, and no outstanding unvested equity awards held by such Named Executive Officers would vest, in each case assuming a hypothetical termination of employment effective as of December 31, 2025.</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employment agreements contain standard confidentiality provisions, effective during and after their employment with us, as well as non-competition and non-solicitation restrictive covenants, effective during the two-years period following the termination of their employment with us.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Except as mentioned above, we do not have any other contract, agreement, plan or arrangement, whether written or unwritten, that provides for payment(s) to a Named Executive Officer at, following, or in connection with the resignation, retirement or other termination of a Named Executive Officer, or a change in control of the company or a change in the Named Executive Officer’s responsibilities following a change in control, with respect to each Named Executive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7550"/>
                <wp:effectExtent l="0" t="0" r="0" b="0"/>
                <wp:wrapNone/>
                <wp:docPr id="39" name="Frame3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36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36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CEO Pay Ratio</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 accordance with the requirements of Section 953(b) of the Dodd-Frank Act and Item 402(u) of Regulation S-K (which we collectively refer to as the “Pay Ratio Rule”), we are providing disclosure regarding the ratio of the annual total compensation of our Chief Executive Officer to that of our median employee.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This pay ratio represents our reasonable estimate calculated in a manner consistent with the Pay Ratio Rule and applicable guidance, which provide flexibility in how companies identify the median employee. Each company may use a different methodology and make different assumptions particular to that company. As a result, and as explained by the SEC when it adopted this rule, in considering the pay ratio disclosure, shareholders should keep in mind that the rule was not designed to facilitate comparisons of pay ratios among different companies, even companies within the same industry, but rather to allow shareholders to better understand and assess each particular company’s compensation practices and pay ratio disclosures.</w:t>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Pay Ratio</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For 2025, the annual total compensation of our Chief Executive Officer was $1,933,609, the annual total compensation of our median employee was $39,958, and the ratio of these two amounts was 48 to 1. We believe that this ratio is a reasonable estimate calculated in a manner consistent with the requirements of the Pay Ratio Rule.</w:t>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Median Employee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To determine the median employee compensation, we analyzed the compensation of all of our global employees located in the United States, China, Japan, Germany, the United Kingdom, Vietnam and Malaysia, excluding our Chief Executive Officer, as of December 31, 2025. We annualized wages and salaries for full time and part-time employees that were not employed for the full year. We used base salary and actual bonus as the consistently applied compensation measure to determine the median employee. After identifying the median employee, we calculated annual total compensation for the median employee according to the methodology used to report the annual total compensation of our Named Executive Officers as reported on the Summary Compensation Table above. We selected December 31, 2024 as the date upon which we would identify the “median employee” because it enabled us to make such identification in a reasonably efficient and economical manner. For 2025, we concluded that there has been no change in our employee population or employee compensation arrangements that we believe would significantly impact our pay ratio disclosure; accordingly, we are using the same median employee identified in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7550"/>
                <wp:effectExtent l="0" t="0" r="0" b="0"/>
                <wp:wrapNone/>
                <wp:docPr id="40" name="Frame3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Pay Versus Performance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 accordance with the requirements of Section 953(a) of the Dodd-Frank Wall Street Reform and Consumer Protection Act, and Item 402(v) of Regulation S-K, we are providing the following disclosure regarding executive compensation for our Chief Executive Officer (also referred to as principal executive officer, or “PEO”) and our other Named Executive Officers (“Non-PEO NEOs”) for the fiscal years listed below.</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For more information concerning our pay-for-performance philosophy and how we structure our executive compensation to drive and reward performance, see the section titled “Compensation Discussion and Analysis.” The information contained in this Pay Versus Performance section will not be incorporated into any of the Company’s filings under the Securities Act or the Exchange Act, except to the extent the Company specifically incorporates such information by reference therein.</w:t>
      </w:r>
    </w:p>
    <w:tbl>
      <w:tblPr>
        <w:tblW w:w="120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196"/>
        <w:gridCol w:w="871"/>
        <w:gridCol w:w="109"/>
        <w:gridCol w:w="109"/>
        <w:gridCol w:w="109"/>
        <w:gridCol w:w="109"/>
        <w:gridCol w:w="196"/>
        <w:gridCol w:w="871"/>
        <w:gridCol w:w="109"/>
        <w:gridCol w:w="109"/>
        <w:gridCol w:w="109"/>
        <w:gridCol w:w="109"/>
        <w:gridCol w:w="217"/>
        <w:gridCol w:w="817"/>
        <w:gridCol w:w="122"/>
        <w:gridCol w:w="109"/>
        <w:gridCol w:w="109"/>
        <w:gridCol w:w="109"/>
        <w:gridCol w:w="217"/>
        <w:gridCol w:w="817"/>
        <w:gridCol w:w="122"/>
        <w:gridCol w:w="109"/>
        <w:gridCol w:w="109"/>
        <w:gridCol w:w="109"/>
        <w:gridCol w:w="264"/>
        <w:gridCol w:w="618"/>
        <w:gridCol w:w="109"/>
        <w:gridCol w:w="109"/>
        <w:gridCol w:w="109"/>
        <w:gridCol w:w="109"/>
        <w:gridCol w:w="330"/>
        <w:gridCol w:w="330"/>
        <w:gridCol w:w="331"/>
        <w:gridCol w:w="109"/>
        <w:gridCol w:w="109"/>
        <w:gridCol w:w="109"/>
        <w:gridCol w:w="196"/>
        <w:gridCol w:w="736"/>
        <w:gridCol w:w="109"/>
        <w:gridCol w:w="109"/>
        <w:gridCol w:w="109"/>
        <w:gridCol w:w="109"/>
        <w:gridCol w:w="196"/>
        <w:gridCol w:w="871"/>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Value of Initial Fixed $100</w:t>
              <w:br/>
              <w:t>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Summary Compensation Table Total for PEO ($)</w:t>
            </w:r>
            <w:r>
              <w:rPr>
                <w:rFonts w:ascii="Lato;sans-serif" w:hAnsi="Lato;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Compensation Actually Paid to PEO ($)</w:t>
            </w:r>
            <w:r>
              <w:rPr>
                <w:rFonts w:ascii="Lato;sans-serif" w:hAnsi="Lato;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Average Summary Compensation Table Total for Non-PEO NEOs ($)</w:t>
            </w:r>
            <w:r>
              <w:rPr>
                <w:rFonts w:ascii="Lato;sans-serif" w:hAnsi="Lato;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Average Compensation Actually Paid to Non-PEO NEOs ($)</w:t>
            </w:r>
            <w:r>
              <w:rPr>
                <w:rFonts w:ascii="Lato;sans-serif" w:hAnsi="Lato;sans-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Total Shareholder Return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Peer Group Total Shareholder Return ($)</w:t>
            </w:r>
            <w:r>
              <w:rPr>
                <w:rFonts w:ascii="Lato;sans-serif" w:hAnsi="Lato;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Net Income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4"/>
              </w:rPr>
              <w:t>Total Revenues ($ in thousands)</w:t>
            </w:r>
            <w:r>
              <w:rPr>
                <w:rFonts w:ascii="Lato;sans-serif" w:hAnsi="Lato;sans-serif"/>
                <w:b/>
                <w:color w:val="000000"/>
                <w:sz w:val="9"/>
              </w:rPr>
              <w:t>(6)</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1,933,609 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1,933,609 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603,695 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759,507 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137,372 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1,289,897 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3,481,027 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3,481,027 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747,118 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737,069 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1,161,042 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431,870 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478,843 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238,898 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238,898 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(1)Mr. Larry Lei Wu was the PEO for each of the years in the table.</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(2)For each year, the amount shown in Compensation Actually Paid to PEO in the table above equals the Summary Compensation Table Total for PEO because all equity awards granted to our PEO were vested immediately upon grant, and therefore there are no outstanding and unvested equity awards for our PEO. </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(3)The individuals comprising our Non-PEO NEOs for 2025 were Ms. Erica Xiaoyang Wei, Mr. Xinyan Hao, Mr. Xin Wan and Mr. Marshall Bernes. The individuals comprising our Non-PEO NEOs for 2024 were Ms. Erica Xiaoyang Wei, Mr. Xinyan Hao, Mr. Xin Wan and Mr. Iman Schrock. The individuals comprising our Non-PEO NEOs for each of 2023 and 2022 were Mr. David Kwok Hei Lau, Mr. Xinyan Hao, Mr. Xin Wan and Mr. Iman Schrock. </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(4)Average Compensation Actually Paid to our Non-PEO NEOs in the table above reflects the following adjustments from the Summary Compensation Table for the years set forth in the table below. The amounts shown for average Compensation Actually Paid to our non-PEO NEOs have been calculated in accordance with Item 402(v) of Regulation S-K and do not reflect compensation actually earned, realized or received by our non-PEO NEOs during the applicable year.</w:t>
      </w:r>
    </w:p>
    <w:tbl>
      <w:tblPr>
        <w:tblW w:w="10205" w:type="dxa"/>
        <w:jc w:val="left"/>
        <w:tblInd w:w="0" w:type="dxa"/>
        <w:tblLayout w:type="fixed"/>
        <w:tblCellMar>
          <w:top w:w="28" w:type="dxa"/>
          <w:left w:w="28" w:type="dxa"/>
          <w:bottom w:w="28" w:type="dxa"/>
          <w:right w:w="28" w:type="dxa"/>
        </w:tblCellMar>
      </w:tblPr>
      <w:tblGrid>
        <w:gridCol w:w="1601"/>
        <w:gridCol w:w="1329"/>
        <w:gridCol w:w="13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Non-PEO NEOs</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2022</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Average Summary Compensation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603,695 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747,118 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431,870 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238,898 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Less: Grant Date Fair Value of Stock Awards Granted in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472,710 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Plus: Fair Value of Stock Awards Granted in Current Year and Unvested as of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Plus: Change in Fair Value from Prior Year End to Current Year End of Outstanding and Unvested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Plus: Change in Fair Value from Prior Year End to Vesting Date of Vested Awards Granted in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Plus: Fair Value at Vesting Date of Vested Awards Granted in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Average 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759,507 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737,069 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478,843 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238,898 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(5)For purposes of calculating the Peer Group Total Shareholder Return (“TSR”), we utilized the Dow Jones Internet Commerce Index, which we also utilize in the stock performance graph required by Item 201(e) of Regulation S-K included in the 2025 Annual Report. The comparison assumes $100 was invested in the Company's Class A ordinary shares for the period starting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7550"/>
                <wp:effectExtent l="0" t="0" r="0" b="0"/>
                <wp:wrapNone/>
                <wp:docPr id="41" name="Frame3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38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38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0" w:after="160"/>
        <w:jc w:val="left"/>
        <w:rPr>
          <w:rFonts w:ascii="Lato;sans-serif" w:hAnsi="Lato;sans-serif"/>
          <w:b w:val="false"/>
          <w:color w:val="000000"/>
          <w:sz w:val="16"/>
        </w:rPr>
      </w:pPr>
      <w:r>
        <w:rPr>
          <w:rFonts w:ascii="Lato;sans-serif" w:hAnsi="Lato;sans-serif"/>
          <w:b w:val="false"/>
          <w:color w:val="000000"/>
          <w:sz w:val="16"/>
        </w:rPr>
        <w:t>August 18, 2022, the first day the Company’s Class A ordinary shares began trading on the Nasdaq Global Market through the end of the fiscal year. Historical stock performance is not necessarily indicative of future stock performance.</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(6)Total revenues is the company-selected financial measure from the list of the most important performance measures used to link compensation actually paid to our PEO and other Non-PEO NEOs to our Company’s performance.</w:t>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Description of the relationships between executive compensation actually paid and metrics on the pay versus performance table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following graph reflects the relationship between the compensation actually paid for our PEO and for the average of our other Non-PEO NEOs as calculated in accordance with Item 402(v) of Regulation S-K, our Total Shareholder Return, and the Peer Group TSR of the Dow Jones Internet Commerce Index over the applicable measurement period.</w:t>
      </w:r>
    </w:p>
    <w:p>
      <w:pPr>
        <w:pStyle w:val="TextBody"/>
        <w:bidi w:val="0"/>
        <w:spacing w:before="160" w:after="160"/>
        <w:jc w:val="left"/>
        <w:rPr/>
      </w:pPr>
      <w:r>
        <w:rPr/>
        <w:drawing>
          <wp:inline distT="0" distB="0" distL="0" distR="0">
            <wp:extent cx="5838825" cy="3619500"/>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
                    <a:stretch>
                      <a:fillRect/>
                    </a:stretch>
                  </pic:blipFill>
                  <pic:spPr bwMode="auto">
                    <a:xfrm>
                      <a:off x="0" y="0"/>
                      <a:ext cx="5838825" cy="3619500"/>
                    </a:xfrm>
                    <a:prstGeom prst="rect">
                      <a:avLst/>
                    </a:prstGeom>
                  </pic:spPr>
                </pic:pic>
              </a:graphicData>
            </a:graphic>
          </wp:inline>
        </w:drawing>
      </w:r>
      <w:bookmarkStart w:id="3" w:name="i-4"/>
      <w:bookmarkEnd w:id="3"/>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following graph reflects the relationship between the compensation actually paid for our PEO and for the average of our other Non-PEO NEOs as calculated in accordance with Item 402(v) of Regulation S-K, and our net income calculated in accordance with GAAP over the applicable measurement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7550"/>
                <wp:effectExtent l="0" t="0" r="0" b="0"/>
                <wp:wrapNone/>
                <wp:docPr id="43" name="Frame3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5838825" cy="3619500"/>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bookmarkStart w:id="4" w:name="i-5"/>
      <w:bookmarkEnd w:id="4"/>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following graph reflects the relationship between the compensation actually paid for our PEO and for the average of our other Non-PEO NEOs as calculated in accordance with Item 402(v) of Regulation S-K, and our total revenues calculated in accordance with GAAP over the applicable measurement period:</w:t>
      </w:r>
    </w:p>
    <w:p>
      <w:pPr>
        <w:pStyle w:val="TextBody"/>
        <w:bidi w:val="0"/>
        <w:spacing w:before="160" w:after="160"/>
        <w:jc w:val="left"/>
        <w:rPr/>
      </w:pPr>
      <w:r>
        <w:rPr/>
        <w:drawing>
          <wp:inline distT="0" distB="0" distL="0" distR="0">
            <wp:extent cx="5838825" cy="3619500"/>
            <wp:effectExtent l="0" t="0" r="0" b="0"/>
            <wp:docPr id="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6" descr=""/>
                    <pic:cNvPicPr>
                      <a:picLocks noChangeAspect="1" noChangeArrowheads="1"/>
                    </pic:cNvPicPr>
                  </pic:nvPicPr>
                  <pic:blipFill>
                    <a:blip r:embed="rId7"/>
                    <a:stretch>
                      <a:fillRect/>
                    </a:stretch>
                  </pic:blipFill>
                  <pic:spPr bwMode="auto">
                    <a:xfrm>
                      <a:off x="0" y="0"/>
                      <a:ext cx="5838825" cy="361950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7550"/>
                <wp:effectExtent l="0" t="0" r="0" b="0"/>
                <wp:wrapNone/>
                <wp:docPr id="46" name="Frame4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40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40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Tabular List of Most Important Financial Performance Measures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following table presents the financial performance measures that we believe to have been the most important in linking Compensation Actually Paid to our PEO and Non-PEO NEOs to Company performance. </w:t>
      </w:r>
    </w:p>
    <w:tbl>
      <w:tblPr>
        <w:tblW w:w="3150" w:type="dxa"/>
        <w:jc w:val="center"/>
        <w:tblInd w:w="0" w:type="dxa"/>
        <w:tblLayout w:type="fixed"/>
        <w:tblCellMar>
          <w:top w:w="28" w:type="dxa"/>
          <w:left w:w="28" w:type="dxa"/>
          <w:bottom w:w="28" w:type="dxa"/>
          <w:right w:w="28" w:type="dxa"/>
        </w:tblCellMar>
      </w:tblPr>
      <w:tblGrid>
        <w:gridCol w:w="1007"/>
        <w:gridCol w:w="887"/>
        <w:gridCol w:w="1256"/>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Total Revenues</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Net Income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GigaCloud Marketplace GMV</w:t>
            </w:r>
            <w:r>
              <w:rPr>
                <w:rFonts w:ascii="Lato;sans-serif" w:hAnsi="Lato;sans-serif"/>
                <w:b w:val="false"/>
                <w:color w:val="000000"/>
                <w:sz w:val="13"/>
              </w:rPr>
              <w:t>(1)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Adjusted EBITDA</w:t>
            </w:r>
            <w:r>
              <w:rPr>
                <w:rFonts w:ascii="Lato;sans-serif" w:hAnsi="Lato;sans-serif"/>
                <w:b w:val="false"/>
                <w:color w:val="000000"/>
                <w:sz w:val="13"/>
              </w:rPr>
              <w:t>(2)</w:t>
            </w:r>
          </w:p>
        </w:tc>
      </w:tr>
    </w:tbl>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(1)GigaCloud Marketplace GMV is the total gross merchandise value of transactions ordered through our GigaCloud Marketplace including GigaCloud 3P and GigaCloud 1P, before any deductions of value added tax, goods and services tax, shipping charges paid by buyers to sellers and any refunds.</w:t>
      </w:r>
    </w:p>
    <w:p>
      <w:pPr>
        <w:pStyle w:val="TextBody"/>
        <w:bidi w:val="0"/>
        <w:spacing w:lineRule="auto" w:line="288" w:before="0" w:after="160"/>
        <w:ind w:left="0" w:right="0" w:hanging="360"/>
        <w:jc w:val="left"/>
        <w:rPr>
          <w:rFonts w:ascii="Lato;sans-serif" w:hAnsi="Lato;sans-serif"/>
          <w:b w:val="false"/>
          <w:color w:val="000000"/>
          <w:sz w:val="16"/>
        </w:rPr>
      </w:pPr>
      <w:r>
        <w:rPr>
          <w:rFonts w:ascii="Lato;sans-serif" w:hAnsi="Lato;sans-serif"/>
          <w:b w:val="false"/>
          <w:color w:val="000000"/>
          <w:sz w:val="16"/>
        </w:rPr>
        <w:t>(2)Adjusted EBITDA is net income excluding interest, income taxes and depreciation and amortization, further adjusted to exclude share-based compensation expenses and non-recurring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7550"/>
                <wp:effectExtent l="0" t="0" r="0" b="0"/>
                <wp:wrapNone/>
                <wp:docPr id="47" name="Frame4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0" w:after="160"/>
        <w:jc w:val="center"/>
        <w:rPr>
          <w:rFonts w:ascii="Lato;sans-serif" w:hAnsi="Lato;sans-serif"/>
          <w:b/>
          <w:color w:val="0070C0"/>
          <w:sz w:val="52"/>
        </w:rPr>
      </w:pPr>
      <w:r>
        <w:rPr>
          <w:rFonts w:ascii="Lato;sans-serif" w:hAnsi="Lato;sans-serif"/>
          <w:b/>
          <w:color w:val="0070C0"/>
          <w:sz w:val="52"/>
        </w:rPr>
        <w:t>Equity Compensation Plan Information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following table contains information about securities authorized for issuance under our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1048"/>
        <w:gridCol w:w="921"/>
        <w:gridCol w:w="833"/>
        <w:gridCol w:w="109"/>
        <w:gridCol w:w="109"/>
        <w:gridCol w:w="109"/>
        <w:gridCol w:w="616"/>
        <w:gridCol w:w="616"/>
        <w:gridCol w:w="617"/>
        <w:gridCol w:w="109"/>
        <w:gridCol w:w="109"/>
        <w:gridCol w:w="109"/>
        <w:gridCol w:w="791"/>
        <w:gridCol w:w="791"/>
        <w:gridCol w:w="792"/>
        <w:gridCol w:w="109"/>
        <w:gridCol w:w="109"/>
        <w:gridCol w:w="109"/>
        <w:gridCol w:w="641"/>
        <w:gridCol w:w="641"/>
        <w:gridCol w:w="91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color w:val="000000"/>
                <w:sz w:val="18"/>
              </w:rPr>
            </w:pPr>
            <w:r>
              <w:rPr>
                <w:rFonts w:ascii="Lato;sans-serif" w:hAnsi="Lato;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Lato;sans-serif" w:hAnsi="Lato;sans-serif"/>
                <w:b/>
                <w:color w:val="000000"/>
                <w:sz w:val="18"/>
              </w:rPr>
            </w:pPr>
            <w:r>
              <w:rPr>
                <w:rFonts w:ascii="Lato;sans-serif" w:hAnsi="Lato;sans-serif"/>
                <w:b/>
                <w:color w:val="000000"/>
                <w:sz w:val="18"/>
              </w:rPr>
              <w:t>Number of Securities to</w:t>
              <w:br/>
              <w:t>be Issued upon Exercise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Lato;sans-serif" w:hAnsi="Lato;sans-serif"/>
                <w:b/>
                <w:color w:val="000000"/>
                <w:sz w:val="18"/>
              </w:rPr>
            </w:pPr>
            <w:r>
              <w:rPr>
                <w:rFonts w:ascii="Lato;sans-serif" w:hAnsi="Lato;sans-serif"/>
                <w:b/>
                <w:color w:val="000000"/>
                <w:sz w:val="18"/>
              </w:rPr>
              <w:t>Weighted-Average Exercise</w:t>
              <w:br/>
              <w:t>Price of 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Lato;sans-serif" w:hAnsi="Lato;sans-serif"/>
                <w:b/>
                <w:color w:val="000000"/>
                <w:sz w:val="18"/>
              </w:rPr>
            </w:pPr>
            <w:r>
              <w:rPr>
                <w:rFonts w:ascii="Lato;sans-serif" w:hAnsi="Lato;sans-serif"/>
                <w:b/>
                <w:color w:val="000000"/>
                <w:sz w:val="18"/>
              </w:rPr>
              <w:t>Number of Securities</w:t>
              <w:br/>
              <w:t>Remaining Available for</w:t>
              <w:br/>
              <w:t>Future Issuance under Equity</w:t>
              <w:br/>
              <w:t xml:space="preserve">Compensation Plans </w:t>
            </w:r>
          </w:p>
        </w:tc>
      </w:tr>
      <w:tr>
        <w:trPr/>
        <w:tc>
          <w:tcPr>
            <w:tcW w:w="2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val="false"/>
                <w:color w:val="000000"/>
                <w:sz w:val="18"/>
              </w:rPr>
              <w:t>Equity compensation plans approved by security holders</w:t>
            </w:r>
            <w:r>
              <w:rPr>
                <w:rFonts w:ascii="Lato;sans-serif" w:hAnsi="Lat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val="false"/>
                <w:color w:val="000000"/>
                <w:sz w:val="18"/>
              </w:rPr>
              <w:t>2,350,729 Class A ordinary shares</w:t>
            </w:r>
            <w:r>
              <w:rPr>
                <w:rFonts w:ascii="Lato;sans-serif" w:hAnsi="Lato;sans-serif"/>
                <w:b w:val="false"/>
                <w:color w:val="000000"/>
                <w:sz w:val="12"/>
              </w:rPr>
              <w:t>(2)</w:t>
            </w:r>
          </w:p>
        </w:tc>
      </w:tr>
      <w:tr>
        <w:trPr/>
        <w:tc>
          <w:tcPr>
            <w:tcW w:w="280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val="false"/>
                <w:color w:val="000000"/>
                <w:sz w:val="18"/>
              </w:rPr>
              <w:t>Equity compensation plans not approved by security holders</w:t>
            </w:r>
            <w:r>
              <w:rPr>
                <w:rFonts w:ascii="Lato;sans-serif" w:hAnsi="Lato;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18"/>
              </w:rPr>
            </w:pPr>
            <w:r>
              <w:rPr>
                <w:rFonts w:ascii="Lato;sans-serif" w:hAnsi="Lato;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18"/>
              </w:rPr>
            </w:pPr>
            <w:r>
              <w:rPr>
                <w:rFonts w:ascii="Lato;sans-serif" w:hAnsi="Lato;sans-serif"/>
                <w:b w:val="false"/>
                <w:color w:val="000000"/>
                <w:sz w:val="18"/>
              </w:rPr>
              <w:t>2,350,729 Class A ordinary shares</w:t>
            </w:r>
          </w:p>
        </w:tc>
      </w:tr>
    </w:tbl>
    <w:p>
      <w:pPr>
        <w:pStyle w:val="TextBody"/>
        <w:bidi w:val="0"/>
        <w:spacing w:lineRule="auto" w:line="362" w:before="160" w:after="160"/>
        <w:jc w:val="left"/>
        <w:rPr>
          <w:rFonts w:ascii="Lato;sans-serif" w:hAnsi="Lato;sans-serif"/>
          <w:b w:val="false"/>
          <w:color w:val="000000"/>
          <w:sz w:val="16"/>
        </w:rPr>
      </w:pPr>
      <w:r>
        <w:rPr>
          <w:rFonts w:ascii="Lato;sans-serif" w:hAnsi="Lato;sans-serif"/>
          <w:b w:val="false"/>
          <w:color w:val="000000"/>
          <w:sz w:val="16"/>
        </w:rPr>
        <w:t>________________________________</w:t>
      </w:r>
    </w:p>
    <w:p>
      <w:pPr>
        <w:pStyle w:val="TextBody"/>
        <w:bidi w:val="0"/>
        <w:spacing w:lineRule="auto" w:line="288" w:before="0" w:after="160"/>
        <w:ind w:left="0" w:right="0" w:hanging="720"/>
        <w:jc w:val="left"/>
        <w:rPr>
          <w:rFonts w:ascii="Lato;sans-serif" w:hAnsi="Lato;sans-serif"/>
          <w:b w:val="false"/>
          <w:color w:val="000000"/>
          <w:sz w:val="16"/>
        </w:rPr>
      </w:pPr>
      <w:r>
        <w:rPr>
          <w:rFonts w:ascii="Lato;sans-serif" w:hAnsi="Lato;sans-serif"/>
          <w:b w:val="false"/>
          <w:color w:val="000000"/>
          <w:sz w:val="16"/>
        </w:rPr>
        <w:t xml:space="preserve">(1)Equity compensation plans approved by security holders include the 2017 Plan. </w:t>
      </w:r>
    </w:p>
    <w:p>
      <w:pPr>
        <w:pStyle w:val="TextBody"/>
        <w:bidi w:val="0"/>
        <w:spacing w:lineRule="auto" w:line="288" w:before="0" w:after="160"/>
        <w:ind w:left="0" w:right="0" w:hanging="720"/>
        <w:jc w:val="left"/>
        <w:rPr>
          <w:rFonts w:ascii="Lato;sans-serif" w:hAnsi="Lato;sans-serif"/>
          <w:b w:val="false"/>
          <w:color w:val="000000"/>
          <w:sz w:val="16"/>
        </w:rPr>
      </w:pPr>
      <w:r>
        <w:rPr>
          <w:rFonts w:ascii="Lato;sans-serif" w:hAnsi="Lato;sans-serif"/>
          <w:b w:val="false"/>
          <w:color w:val="000000"/>
          <w:sz w:val="16"/>
        </w:rPr>
        <w:t xml:space="preserve">(2)Represents 2,350,729 shares available for future issuance under the 2017 Plan. </w:t>
      </w:r>
    </w:p>
    <w:p>
      <w:pPr>
        <w:pStyle w:val="TextBody"/>
        <w:bidi w:val="0"/>
        <w:spacing w:lineRule="auto" w:line="288" w:before="0" w:after="160"/>
        <w:ind w:left="0" w:right="0" w:hanging="720"/>
        <w:jc w:val="left"/>
        <w:rPr>
          <w:rFonts w:ascii="Lato;sans-serif" w:hAnsi="Lato;sans-serif"/>
          <w:b w:val="false"/>
          <w:color w:val="000000"/>
          <w:sz w:val="16"/>
        </w:rPr>
      </w:pPr>
      <w:r>
        <w:rPr>
          <w:rFonts w:ascii="Lato;sans-serif" w:hAnsi="Lato;sans-serif"/>
          <w:b w:val="false"/>
          <w:color w:val="000000"/>
          <w:sz w:val="16"/>
        </w:rPr>
        <w:t>(3)We do not have any equity compensation plans not approved by security holders.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7550"/>
                <wp:effectExtent l="0" t="0" r="0" b="0"/>
                <wp:wrapNone/>
                <wp:docPr id="48" name="Frame4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42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color w:val="000000"/>
                                <w:sz w:val="16"/>
                              </w:rPr>
                            </w:pPr>
                            <w:r>
                              <w:rPr>
                                <w:rFonts w:ascii="Lato;sans-serif" w:hAnsi="Lato;sans-serif"/>
                                <w:b/>
                                <w:color w:val="000000"/>
                                <w:sz w:val="16"/>
                              </w:rPr>
                              <w:t>42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 xml:space="preserve">Security Ownership of Certain Beneficial Owners and Management </w:t>
      </w:r>
    </w:p>
    <w:p>
      <w:pPr>
        <w:pStyle w:val="TextBody"/>
        <w:bidi w:val="0"/>
        <w:spacing w:lineRule="auto" w:line="362" w:before="23" w:after="160"/>
        <w:jc w:val="both"/>
        <w:rPr>
          <w:rFonts w:ascii="Lato;sans-serif" w:hAnsi="Lato;sans-serif"/>
          <w:b/>
          <w:color w:val="005CB9"/>
          <w:sz w:val="32"/>
        </w:rPr>
      </w:pPr>
      <w:r>
        <w:rPr>
          <w:rFonts w:ascii="Lato;sans-serif" w:hAnsi="Lato;sans-serif"/>
          <w:b/>
          <w:color w:val="005CB9"/>
          <w:sz w:val="32"/>
        </w:rPr>
        <w:t>Share Ownership</w:t>
      </w:r>
    </w:p>
    <w:p>
      <w:pPr>
        <w:pStyle w:val="TextBody"/>
        <w:bidi w:val="0"/>
        <w:spacing w:lineRule="auto" w:line="362" w:before="120" w:after="283"/>
        <w:jc w:val="left"/>
        <w:rPr>
          <w:rFonts w:ascii="Lato;sans-serif" w:hAnsi="Lato;sans-serif"/>
          <w:b w:val="false"/>
          <w:color w:val="000000"/>
          <w:sz w:val="20"/>
        </w:rPr>
      </w:pPr>
      <w:r>
        <w:rPr>
          <w:rFonts w:ascii="Lato;sans-serif" w:hAnsi="Lato;sans-serif"/>
          <w:b w:val="false"/>
          <w:color w:val="000000"/>
          <w:sz w:val="20"/>
        </w:rPr>
        <w:t xml:space="preserve">The following table sets forth information concerning the beneficial ownership of our ordinary shares on an as-converted basis, as of March 31, 2026, for: </w:t>
      </w:r>
    </w:p>
    <w:p>
      <w:pPr>
        <w:pStyle w:val="TextBody"/>
        <w:bidi w:val="0"/>
        <w:spacing w:lineRule="auto" w:line="362" w:before="120" w:after="283"/>
        <w:ind w:left="0" w:right="0" w:hanging="576"/>
        <w:jc w:val="left"/>
        <w:rPr/>
      </w:pPr>
      <w:r>
        <w:rPr>
          <w:color w:val="000000"/>
        </w:rPr>
        <w:t>•</w:t>
      </w:r>
      <w:r>
        <w:rPr>
          <w:rFonts w:ascii="Lato;sans-serif" w:hAnsi="Lato;sans-serif"/>
          <w:b w:val="false"/>
          <w:color w:val="000000"/>
          <w:sz w:val="20"/>
        </w:rPr>
        <w:t xml:space="preserve">each of our directors and executive officers, including the Named Executive Officers; </w:t>
      </w:r>
    </w:p>
    <w:p>
      <w:pPr>
        <w:pStyle w:val="TextBody"/>
        <w:bidi w:val="0"/>
        <w:spacing w:lineRule="auto" w:line="362" w:before="120" w:after="283"/>
        <w:ind w:left="0" w:right="0" w:hanging="576"/>
        <w:jc w:val="left"/>
        <w:rPr/>
      </w:pPr>
      <w:r>
        <w:rPr>
          <w:color w:val="000000"/>
        </w:rPr>
        <w:t>•</w:t>
      </w:r>
      <w:r>
        <w:rPr>
          <w:rFonts w:ascii="Lato;sans-serif" w:hAnsi="Lato;sans-serif"/>
          <w:b w:val="false"/>
          <w:color w:val="000000"/>
          <w:sz w:val="20"/>
        </w:rPr>
        <w:t xml:space="preserve">all of our executive officers and directors as a group; and </w:t>
      </w:r>
    </w:p>
    <w:p>
      <w:pPr>
        <w:pStyle w:val="TextBody"/>
        <w:bidi w:val="0"/>
        <w:spacing w:lineRule="auto" w:line="362" w:before="120" w:after="283"/>
        <w:ind w:left="0" w:right="0" w:hanging="576"/>
        <w:jc w:val="left"/>
        <w:rPr/>
      </w:pPr>
      <w:r>
        <w:rPr>
          <w:color w:val="000000"/>
        </w:rPr>
        <w:t>•</w:t>
      </w:r>
      <w:r>
        <w:rPr>
          <w:rFonts w:ascii="Lato;sans-serif" w:hAnsi="Lato;sans-serif"/>
          <w:b w:val="false"/>
          <w:color w:val="000000"/>
          <w:sz w:val="20"/>
        </w:rPr>
        <w:t xml:space="preserve">each person known to us to beneficially own 5% or more of our total issued and outstanding ordinary shares. </w:t>
      </w:r>
    </w:p>
    <w:p>
      <w:pPr>
        <w:pStyle w:val="TextBody"/>
        <w:bidi w:val="0"/>
        <w:spacing w:lineRule="auto" w:line="362" w:before="240" w:after="283"/>
        <w:jc w:val="left"/>
        <w:rPr>
          <w:rFonts w:ascii="Lato;sans-serif" w:hAnsi="Lato;sans-serif"/>
          <w:b w:val="false"/>
          <w:color w:val="000000"/>
          <w:sz w:val="20"/>
        </w:rPr>
      </w:pPr>
      <w:r>
        <w:rPr>
          <w:rFonts w:ascii="Lato;sans-serif" w:hAnsi="Lato;sans-serif"/>
          <w:b w:val="false"/>
          <w:color w:val="000000"/>
          <w:sz w:val="20"/>
        </w:rPr>
        <w:t>Except as noted by footnote, based on the information provided to us, we believe that the persons and entities named in the table below have sole voting and investment power with respect to all securities shown as beneficially owned by them.</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have adopted a dual-class ordinary share structure. The calculations in the table below are based on 36,612,522 ordinary shares, par value $0.05 per share, issued and outstanding, comprised of 29,455,790 Class A ordinary shares, par value $0.05 per share, (which had excluded an aggregate of 135,779 Class A ordinary shares issued and reserved for future allocation upon exercise or vesting of awards granted under our share incentive plans; and 304,321 Class A ordinary shares issued and repurchased but not yet cancelled) and 7,156,732 Class B ordinary shares, par value $0.05 per share, as of March 31, 2026. </w:t>
      </w:r>
    </w:p>
    <w:p>
      <w:pPr>
        <w:pStyle w:val="TextBody"/>
        <w:bidi w:val="0"/>
        <w:spacing w:lineRule="auto" w:line="362" w:before="240" w:after="240"/>
        <w:jc w:val="left"/>
        <w:rPr>
          <w:rFonts w:ascii="Lato;sans-serif" w:hAnsi="Lato;sans-serif"/>
          <w:b w:val="false"/>
          <w:color w:val="000000"/>
          <w:sz w:val="20"/>
        </w:rPr>
      </w:pPr>
      <w:r>
        <w:rPr>
          <w:rFonts w:ascii="Lato;sans-serif" w:hAnsi="Lato;sans-serif"/>
          <w:b w:val="false"/>
          <w:color w:val="000000"/>
          <w:sz w:val="20"/>
        </w:rPr>
        <w:t xml:space="preserve">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proxy statement, including through the exercise of any option, warrant or other right or the conversion of any other security. These shares, however, are not included in the computation of the percentage ownership of any other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7550"/>
                <wp:effectExtent l="0" t="0" r="0" b="0"/>
                <wp:wrapNone/>
                <wp:docPr id="49" name="Frame4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10205" w:type="dxa"/>
        <w:jc w:val="left"/>
        <w:tblInd w:w="0" w:type="dxa"/>
        <w:tblLayout w:type="fixed"/>
        <w:tblCellMar>
          <w:top w:w="28" w:type="dxa"/>
          <w:left w:w="28" w:type="dxa"/>
          <w:bottom w:w="28" w:type="dxa"/>
          <w:right w:w="28" w:type="dxa"/>
        </w:tblCellMar>
      </w:tblPr>
      <w:tblGrid>
        <w:gridCol w:w="963"/>
        <w:gridCol w:w="641"/>
        <w:gridCol w:w="643"/>
        <w:gridCol w:w="353"/>
        <w:gridCol w:w="353"/>
        <w:gridCol w:w="360"/>
        <w:gridCol w:w="141"/>
        <w:gridCol w:w="141"/>
        <w:gridCol w:w="141"/>
        <w:gridCol w:w="359"/>
        <w:gridCol w:w="264"/>
        <w:gridCol w:w="520"/>
        <w:gridCol w:w="110"/>
        <w:gridCol w:w="110"/>
        <w:gridCol w:w="110"/>
        <w:gridCol w:w="354"/>
        <w:gridCol w:w="354"/>
        <w:gridCol w:w="358"/>
        <w:gridCol w:w="141"/>
        <w:gridCol w:w="141"/>
        <w:gridCol w:w="141"/>
        <w:gridCol w:w="359"/>
        <w:gridCol w:w="350"/>
        <w:gridCol w:w="521"/>
        <w:gridCol w:w="110"/>
        <w:gridCol w:w="110"/>
        <w:gridCol w:w="110"/>
        <w:gridCol w:w="453"/>
        <w:gridCol w:w="381"/>
        <w:gridCol w:w="1113"/>
      </w:tblGrid>
      <w:tr>
        <w:trPr/>
        <w:tc>
          <w:tcPr>
            <w:tcW w:w="9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27"/>
            <w:tcBorders/>
            <w:tcMar>
              <w:top w:w="0" w:type="dxa"/>
              <w:left w:w="0" w:type="dxa"/>
              <w:bottom w:w="0" w:type="dxa"/>
              <w:right w:w="0" w:type="dxa"/>
            </w:tcMar>
            <w:vAlign w:val="center"/>
          </w:tcPr>
          <w:p>
            <w:pPr>
              <w:pStyle w:val="TableContents"/>
              <w:bidi w:val="0"/>
              <w:spacing w:lineRule="auto" w:line="240" w:before="60" w:after="283"/>
              <w:jc w:val="center"/>
              <w:rPr>
                <w:rFonts w:ascii="Lato;sans-serif" w:hAnsi="Lato;sans-serif"/>
                <w:b/>
                <w:color w:val="000000"/>
                <w:sz w:val="16"/>
              </w:rPr>
            </w:pPr>
            <w:r>
              <w:rPr>
                <w:rFonts w:ascii="Lato;sans-serif" w:hAnsi="Lato;sans-serif"/>
                <w:b/>
                <w:color w:val="000000"/>
                <w:sz w:val="16"/>
              </w:rPr>
              <w:t>Ordinary Shares Beneficially Owned**</w:t>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Class A Ordinary 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Class B Ordinary 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Percentage of Total Voting Power***</w:t>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Percent of Class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Percent of Class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60" w:after="60"/>
              <w:jc w:val="left"/>
              <w:rPr>
                <w:rFonts w:ascii="Lato;sans-serif" w:hAnsi="Lato;sans-serif"/>
                <w:b/>
                <w:color w:val="000000"/>
                <w:sz w:val="18"/>
              </w:rPr>
            </w:pPr>
            <w:r>
              <w:rPr>
                <w:rFonts w:ascii="Lato;sans-serif" w:hAnsi="Lato;sans-serif"/>
                <w:b/>
                <w:color w:val="000000"/>
                <w:sz w:val="18"/>
              </w:rPr>
              <w:t>Directors and Executive Officers**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Larry Lei Wu</w:t>
            </w:r>
            <w:r>
              <w:rPr>
                <w:rFonts w:ascii="Lato;sans-serif" w:hAnsi="Lato;sans-serif"/>
                <w:b w:val="false"/>
                <w:color w:val="000000"/>
                <w:sz w:val="12"/>
              </w:rPr>
              <w:t>(1)</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180,000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7,156,732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100.0 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71.0 </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8"/>
              </w:rPr>
            </w:pPr>
            <w:r>
              <w:rPr>
                <w:rFonts w:ascii="Lato;sans-serif" w:hAnsi="Lato;sans-serif"/>
                <w:b w:val="false"/>
                <w:color w:val="000000"/>
                <w:sz w:val="18"/>
              </w:rPr>
              <w:t>Erica Xiaoyang Wei</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19,000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Xinyan Hao</w:t>
            </w:r>
            <w:r>
              <w:rPr>
                <w:rFonts w:ascii="Lato;sans-serif" w:hAnsi="Lato;sans-serif"/>
                <w:b w:val="false"/>
                <w:color w:val="000000"/>
                <w:sz w:val="12"/>
              </w:rPr>
              <w:t>(2)</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357,486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Xin Wan</w:t>
            </w:r>
            <w:r>
              <w:rPr>
                <w:rFonts w:ascii="Lato;sans-serif" w:hAnsi="Lato;sans-serif"/>
                <w:b w:val="false"/>
                <w:color w:val="000000"/>
                <w:sz w:val="12"/>
              </w:rPr>
              <w:t>(3)</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723,040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Iman Schrock</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20,000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Marshall Bernes</w:t>
            </w:r>
            <w:r>
              <w:rPr>
                <w:rFonts w:ascii="Lato;sans-serif" w:hAnsi="Lato;sans-serif"/>
                <w:b w:val="false"/>
                <w:color w:val="000000"/>
                <w:sz w:val="12"/>
              </w:rPr>
              <w:t>(4)</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61,000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Zhiwu Chen</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25,718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Jan William Visser</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12,106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Lato;sans-serif" w:hAnsi="Lato;sans-serif"/>
                <w:b w:val="false"/>
                <w:color w:val="000000"/>
                <w:sz w:val="20"/>
              </w:rPr>
            </w:pPr>
            <w:r>
              <w:rPr>
                <w:rFonts w:ascii="Lato;sans-serif" w:hAnsi="Lato;sans-serif"/>
                <w:b w:val="false"/>
                <w:color w:val="000000"/>
                <w:sz w:val="20"/>
              </w:rPr>
              <w:t>Kenneth E Lebensburger Jr.</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1,844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All directors and executive officers as a group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1,400,194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7,156,732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100.0 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72.2 </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Other 5% Shareholders: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BLACKROCK, INC.</w:t>
            </w:r>
            <w:r>
              <w:rPr>
                <w:rFonts w:ascii="Lato;sans-serif" w:hAnsi="Lato;sans-serif"/>
                <w:b w:val="false"/>
                <w:color w:val="000000"/>
                <w:sz w:val="12"/>
              </w:rPr>
              <w:t>(5)</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1,905,815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1.9 </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FMR LLC</w:t>
            </w:r>
            <w:r>
              <w:rPr>
                <w:rFonts w:ascii="Lato;sans-serif" w:hAnsi="Lato;sans-serif"/>
                <w:b w:val="false"/>
                <w:color w:val="000000"/>
                <w:sz w:val="12"/>
              </w:rPr>
              <w:t>(6)</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4,372,409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4.3 </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*Less than 1% of our total outstanding shares.</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 xml:space="preserve">*Except as indicated otherwise below, the business address of our directors and executive officers is c/o GigaCloud Technology Inc, 4388 Shirley Avenue, El Monte CA 91731. </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**Beneficial ownership information disclosed herein represents direct and indirect holdings of entities owned, controlled or otherwise affiliated with the applicable holder as determined in accordance with the rules and regulations of the SEC.</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***For each person or group included in this column, percentage of total voting power represents voting power based on both Class A and Class B ordinary shares beneficially owned by such person or group with respect to the voting power of all of our issued and outstanding Class A and Class B ordinary shares as a single class. Each holder of our Class A ordinary shares is entitled to one vote per share and each holder of our Class B ordinary shares is entitled to ten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into Class A ordinary shares on a one-for-one basis, while Class A ordinary shares are not convertible into Class B ordinary shares under any circumstances.</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(1)Represents (i) 180,000 Class A ordinary shares and 5,000 Class B ordinary shares directly held by Mr. Wu, and (ii) 7,151,732 Class B ordinary shares held by Ji Xiang Hu Tong Holdings Limited, a company incorporated in the British Virgin Islands. The sole shareholder of Ji Xiang Hu Tong Holdings Limited is a limited liability company incorporated in Delaware, U.S., controlled by Mr. Wu as its sole member and sole manager. Mr. Wu may be deemed to be the beneficial owner of the shares held by Ji Xiang Hu Tong Holdings Limited. The registered address of Ji Xiang Hu Tong Holdings Limited is Vistra Corporate Services Centre, Wickhams Cay II, Road Town, Tortola, VG1110, British Virgin Islands.</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 xml:space="preserve">(2)Represents 357,486 Class A ordinary shares held by ICEBERY LIMITED. Mr. Hao is the sole shareholder and sole director of ICEBERY LIMITED. The registered address of ICEBERY LIMITED is at the offices of Tricor Services (BVI) Limited, 2/F, Palm Grove House, P.O. Box 3340, Road Town, Tortola, British Virgin Islands. </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(3)Represents (i) 5,500 Class A ordinary shares held directly by Mr. Wan and (ii) 717,540 Class A ordinary shares held by FAITHFUL WINNER HOLDINGS LIMITED. Mr. Wan is the sole shareholder and sole director of FAITHFUL WINNER HOLDINGS LIMITED. The registered address of FAITHFUL WINNER HOLDINGS LIMITED is at the offices of Tricor Services (BVI) Limited, 2/F, Palm Grove House, P.O. Box 3340, Road Town, Tortola, British Virgin Islands.</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 xml:space="preserve">(4)Represents 61,000 Class A ordinary shares held by the Marshall R. Bernes Family Trust of which Mr. Bernes is the settlor and a co-trustee of the Family Trust. </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(5)Based on the most recently available Schedule 13G filed with the SEC on July 17, 2025 by BlackRock, Inc. BlackRock, Inc., a parent holding company through certain of its subsidiaries, beneficially owned 1,905,815 shares of Class A ordinary shares with sole voting power over 1,838,298 shares and sole dispositive power over 1,905,815 shares. The registered address of Blackrock, Inc. is 50 Hudson Yards, New York, NY 10001.</w:t>
      </w:r>
    </w:p>
    <w:p>
      <w:pPr>
        <w:pStyle w:val="TextBody"/>
        <w:bidi w:val="0"/>
        <w:spacing w:lineRule="auto" w:line="288" w:before="0" w:after="160"/>
        <w:ind w:left="0" w:right="0" w:hanging="540"/>
        <w:jc w:val="left"/>
        <w:rPr>
          <w:rFonts w:ascii="Lato;sans-serif" w:hAnsi="Lato;sans-serif"/>
          <w:b w:val="false"/>
          <w:color w:val="000000"/>
          <w:sz w:val="16"/>
        </w:rPr>
      </w:pPr>
      <w:r>
        <w:rPr>
          <w:rFonts w:ascii="Lato;sans-serif" w:hAnsi="Lato;sans-serif"/>
          <w:b w:val="false"/>
          <w:color w:val="000000"/>
          <w:sz w:val="16"/>
        </w:rPr>
        <w:t xml:space="preserve">(6)Based on the most recently available Schedule 13G filed with the SEC on September 8, 2025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7550"/>
                <wp:effectExtent l="0" t="0" r="0" b="0"/>
                <wp:wrapNone/>
                <wp:docPr id="50" name="Frame4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0" w:after="160"/>
        <w:jc w:val="left"/>
        <w:rPr>
          <w:rFonts w:ascii="Lato;sans-serif" w:hAnsi="Lato;sans-serif"/>
          <w:b w:val="false"/>
          <w:color w:val="000000"/>
          <w:sz w:val="16"/>
        </w:rPr>
      </w:pPr>
      <w:r>
        <w:rPr>
          <w:rFonts w:ascii="Lato;sans-serif" w:hAnsi="Lato;sans-serif"/>
          <w:b w:val="false"/>
          <w:color w:val="000000"/>
          <w:sz w:val="16"/>
        </w:rPr>
        <w:t>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registered address of FMR LLC is 245 Summer Street, Boston, Massachusetts 02210.</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As of March 31, 2026, we had 13 ordinary shares held by record holders in the U.S. We are not aware of any of our shares that are pledged as security by our directors or executive officers. We are not aware of any arrangement, including any pledge by any person of our securities that may, at a subsequent date, result in a change of control of our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7550"/>
                <wp:effectExtent l="0" t="0" r="0" b="0"/>
                <wp:wrapNone/>
                <wp:docPr id="51" name="Frame4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Delinquent Section 16(A) Reports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Section 16(a) of the Exchange Act requires our directors and executive officers, and persons who own more than 10% of a registered class of our equity securities, to file with the SEC initial statement of beneficial ownership and certain statements of changes in beneficial ownership of our equity securities (collectively, the “Section 16(A) reports”).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Based solely on our review of the copies of such forms furnished to us and written representations from the directors and executive officers, we believe that all Section 16(a) filing requirements were timely met in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37845"/>
                <wp:effectExtent l="0" t="0" r="0" b="0"/>
                <wp:wrapNone/>
                <wp:docPr id="52" name="Frame46"/>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Certain Relationships and Related-Party and Other Transactions</w:t>
      </w:r>
    </w:p>
    <w:p>
      <w:pPr>
        <w:pStyle w:val="TextBody"/>
        <w:bidi w:val="0"/>
        <w:spacing w:lineRule="auto" w:line="362" w:before="260" w:after="360"/>
        <w:jc w:val="left"/>
        <w:rPr>
          <w:rFonts w:ascii="Lato;sans-serif" w:hAnsi="Lato;sans-serif"/>
          <w:b/>
          <w:color w:val="005CB9"/>
          <w:sz w:val="32"/>
        </w:rPr>
      </w:pPr>
      <w:r>
        <w:rPr>
          <w:rFonts w:ascii="Lato;sans-serif" w:hAnsi="Lato;sans-serif"/>
          <w:b/>
          <w:color w:val="005CB9"/>
          <w:sz w:val="32"/>
        </w:rPr>
        <w:t>Transactions with Related Persons</w:t>
      </w:r>
    </w:p>
    <w:p>
      <w:pPr>
        <w:pStyle w:val="TextBody"/>
        <w:bidi w:val="0"/>
        <w:spacing w:lineRule="auto" w:line="362" w:before="23" w:after="20"/>
        <w:jc w:val="both"/>
        <w:rPr>
          <w:rFonts w:ascii="Lato;sans-serif" w:hAnsi="Lato;sans-serif"/>
          <w:b/>
          <w:i/>
          <w:color w:val="005CB9"/>
          <w:sz w:val="24"/>
        </w:rPr>
      </w:pPr>
      <w:r>
        <w:rPr>
          <w:rFonts w:ascii="Lato;sans-serif" w:hAnsi="Lato;sans-serif"/>
          <w:b/>
          <w:i/>
          <w:color w:val="005CB9"/>
          <w:sz w:val="24"/>
        </w:rPr>
        <w:t xml:space="preserve">Employment Agreements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have entered into employment agreements with each of our executive officers, including the named executive officers. See “Executive Officer Compensation Tables—Employment Agreements with the Named Executive Officers” regarding the description of the employment agreements with the Named Executive Officers. </w:t>
      </w:r>
    </w:p>
    <w:p>
      <w:pPr>
        <w:pStyle w:val="TextBody"/>
        <w:bidi w:val="0"/>
        <w:spacing w:lineRule="auto" w:line="362" w:before="23" w:after="20"/>
        <w:jc w:val="both"/>
        <w:rPr>
          <w:rFonts w:ascii="Lato;sans-serif" w:hAnsi="Lato;sans-serif"/>
          <w:b/>
          <w:i/>
          <w:color w:val="005CB9"/>
          <w:sz w:val="24"/>
        </w:rPr>
      </w:pPr>
      <w:r>
        <w:rPr>
          <w:rFonts w:ascii="Lato;sans-serif" w:hAnsi="Lato;sans-serif"/>
          <w:b/>
          <w:i/>
          <w:color w:val="005CB9"/>
          <w:sz w:val="24"/>
        </w:rPr>
        <w:t>Indemnification of Directors and Executive Officers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providing indemnification against civil fraud or the consequences of committing a crime.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memorandum and articles of association provide that each of our directors shall be indemnified against all actions, proceedings, costs, charges, expenses, losses, damages or liabilities incurred or sustained by such director, other than by reason of such director’s own dishonesty, willful default or fraud, in or about the conduct of our company’s business or affairs (including as a result of any mistake of judgment) or in the execution or discharge of his duties, powers, authorities or discretion, including any costs, expenses, losses or liabilities incurred by such director in defending (whether successfully or otherwise) any civil proceedings concerning our company or our affairs in any court whether in the Cayman Islands or elsewhere. This standard of conduct is generally the same as permitted under the Delaware General Corporation Law for a Delaware corporation.</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 addition, we have entered into indemnification agreements with each of our directors and executive officers, including the Named Executive Officers, that provide such persons with additional indemnification beyond that provided in our memorandum and articles of association.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lineRule="auto" w:line="362" w:before="23" w:after="20"/>
        <w:jc w:val="left"/>
        <w:rPr>
          <w:rFonts w:ascii="Lato;sans-serif" w:hAnsi="Lato;sans-serif"/>
          <w:b/>
          <w:color w:val="000000"/>
          <w:sz w:val="20"/>
        </w:rPr>
      </w:pPr>
      <w:r>
        <w:rPr>
          <w:rFonts w:ascii="Lato;sans-serif" w:hAnsi="Lato;sans-serif"/>
          <w:b/>
          <w:color w:val="000000"/>
          <w:sz w:val="20"/>
        </w:rPr>
        <w:t xml:space="preserve">Equity Grants to Executive Officers and Directors; Share Incentive Plans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We have granted share options and restricted share units awards to certain of our executive officers and non-employee directors. See “Information About Our Board of Directors—Director Compensation”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7550"/>
                <wp:effectExtent l="0" t="0" r="0" b="0"/>
                <wp:wrapNone/>
                <wp:docPr id="53" name="Frame4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color w:val="000000"/>
        </w:rPr>
      </w:pPr>
      <w:r>
        <w:rPr>
          <w:color w:val="000000"/>
        </w:rPr>
        <w:t>“</w:t>
      </w:r>
      <w:r>
        <w:rPr>
          <w:rFonts w:ascii="Lato;sans-serif" w:hAnsi="Lato;sans-serif"/>
          <w:b w:val="false"/>
          <w:color w:val="000000"/>
          <w:sz w:val="20"/>
        </w:rPr>
        <w:t>Compensation Discussion and Analysis—Elements of Our Executive Compensation Program—Equity-Based Incentive Awards”</w:t>
      </w:r>
    </w:p>
    <w:p>
      <w:pPr>
        <w:pStyle w:val="TextBody"/>
        <w:bidi w:val="0"/>
        <w:spacing w:lineRule="auto" w:line="362" w:before="0" w:after="160"/>
        <w:jc w:val="left"/>
        <w:rPr>
          <w:rFonts w:ascii="Lato;sans-serif" w:hAnsi="Lato;sans-serif"/>
          <w:b/>
          <w:color w:val="005CB9"/>
          <w:sz w:val="32"/>
        </w:rPr>
      </w:pPr>
      <w:r>
        <w:rPr>
          <w:rFonts w:ascii="Lato;sans-serif" w:hAnsi="Lato;sans-serif"/>
          <w:b/>
          <w:color w:val="005CB9"/>
          <w:sz w:val="32"/>
        </w:rPr>
        <w:t>Review, Approval or Ratification of Transactions with Related Persons.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Our board of directors adopted a written related person transaction policy, effective on August 17, 2022 upon our initial public offering, as amended and restated on January 1, 2024 (the “related party transaction policy”). Our related person transaction policy sets forth the policies and procedures for the review and approval or ratification of related person transactions.</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w:t>
      </w:r>
    </w:p>
    <w:p>
      <w:pPr>
        <w:pStyle w:val="TextBody"/>
        <w:bidi w:val="0"/>
        <w:spacing w:lineRule="auto" w:line="362" w:before="240" w:after="283"/>
        <w:jc w:val="both"/>
        <w:rPr>
          <w:rFonts w:ascii="Lato;sans-serif" w:hAnsi="Lato;sans-serif"/>
          <w:b w:val="false"/>
          <w:color w:val="000000"/>
          <w:sz w:val="20"/>
        </w:rPr>
      </w:pPr>
      <w:r>
        <w:rPr>
          <w:rFonts w:ascii="Lato;sans-serif" w:hAnsi="Lato;sans-serif"/>
          <w:b w:val="false"/>
          <w:color w:val="000000"/>
          <w:sz w:val="20"/>
        </w:rPr>
        <w:t xml:space="preserve">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7550"/>
                <wp:effectExtent l="0" t="0" r="0" b="0"/>
                <wp:wrapNone/>
                <wp:docPr id="54" name="Frame4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48</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Availability of Annual Report on Form 10-K</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Shareholders can access the 2025 Annual Report, which includes our Form 10-K, and other financial information, on our website at https://www.gigacloudtech.com/. Alternatively, shareholders can request a paper copy of the 2025 Annual Report free of charge by writing to: GigaCloud Technology Inc, 4388 Shirley Avenue, El Monte, CA 91731, USA, Attention: Investor Relations. </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Website references throughout this document are provided for convenience only, and the content on the referenced websites is not incorporated by reference into this document.</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We have filed the 2025 Annual Report on Form 10-K with the SEC. It is available free of charge at the SEC’s web 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17550"/>
                <wp:effectExtent l="0" t="0" r="0" b="0"/>
                <wp:wrapNone/>
                <wp:docPr id="55" name="Frame4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Questions and Answers</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Why am I receiving these materials?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 board of directors of GigaCloud Technology Inc is making these proxy materials available to you on the Internet or, upon your request, by delivering printed versions of these materials to you by mail, in connection with the solicitation of proxies for use at the Annual Meeting, or at any adjournment or postponement of the Annual Meeting. The Annual Meeting will occur on July 10, 2026 at 9:00 a.m. Pacific Time. The Annual Meeting will be a completely virtual meeting. You can attend the Annual Meeting at the virtual meeting site of meetnow.global/MQKSRYF.</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What is included in these materials?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These materials include this Proxy Statement and Proxy Card for the Annual Meeting and the 2025 Annual Report to Shareholders, which includes the annual report on Form 10-K for the year ended December 31, 2025. We are first making these materials available to you on the Internet on or about April 30, 2026.</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Who is soliciting my vote?</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Our board of directors is soliciting your vote for the Annual Meeting.</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What is the purpose of the Annual Meeting?</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The purpose of the Annual Meeting is to consider and vote on the following resolutions and matters: </w:t>
      </w:r>
    </w:p>
    <w:p>
      <w:pPr>
        <w:pStyle w:val="TextBody"/>
        <w:bidi w:val="0"/>
        <w:spacing w:lineRule="auto" w:line="362" w:before="160" w:after="160"/>
        <w:jc w:val="left"/>
        <w:rPr/>
      </w:pPr>
      <w:r>
        <w:rPr>
          <w:rFonts w:ascii="Lato;sans-serif" w:hAnsi="Lato;sans-serif"/>
          <w:b w:val="false"/>
          <w:color w:val="000000"/>
          <w:sz w:val="20"/>
        </w:rPr>
        <w:t>1.</w:t>
      </w:r>
      <w:r>
        <w:rPr>
          <w:rFonts w:ascii="Lato;sans-serif" w:hAnsi="Lato;sans-serif"/>
          <w:b w:val="false"/>
          <w:color w:val="000000"/>
          <w:sz w:val="20"/>
        </w:rPr>
        <w:t>To ratify the selection and appointment of Grant Thornton LLP, an independent registered public accounting firm, as the independent auditor of GigaCloud Technology Inc for the fiscal year ending December 31, 2026 ("Proposal 1”).</w:t>
      </w:r>
    </w:p>
    <w:p>
      <w:pPr>
        <w:pStyle w:val="TextBody"/>
        <w:bidi w:val="0"/>
        <w:spacing w:lineRule="auto" w:line="362" w:before="160" w:after="160"/>
        <w:jc w:val="left"/>
        <w:rPr/>
      </w:pPr>
      <w:r>
        <w:rPr>
          <w:rFonts w:ascii="Lato;sans-serif" w:hAnsi="Lato;sans-serif"/>
          <w:b w:val="false"/>
          <w:color w:val="000000"/>
          <w:sz w:val="20"/>
        </w:rPr>
        <w:t>2.</w:t>
      </w:r>
      <w:r>
        <w:rPr>
          <w:rFonts w:ascii="Lato;sans-serif" w:hAnsi="Lato;sans-serif"/>
          <w:b w:val="false"/>
          <w:color w:val="000000"/>
          <w:sz w:val="20"/>
        </w:rPr>
        <w:t>To transact such other business as may properly come before the Annual Meeting and any adjournment or postponement.</w:t>
      </w:r>
    </w:p>
    <w:p>
      <w:pPr>
        <w:pStyle w:val="TextBody"/>
        <w:bidi w:val="0"/>
        <w:spacing w:lineRule="auto" w:line="362" w:before="0" w:after="40"/>
        <w:jc w:val="left"/>
        <w:rPr>
          <w:rFonts w:ascii="Lato;sans-serif" w:hAnsi="Lato;sans-serif"/>
          <w:b/>
          <w:color w:val="005CB9"/>
          <w:sz w:val="24"/>
        </w:rPr>
      </w:pPr>
      <w:r>
        <w:rPr>
          <w:rFonts w:ascii="Lato;sans-serif" w:hAnsi="Lato;sans-serif"/>
          <w:b/>
          <w:color w:val="005CB9"/>
          <w:sz w:val="24"/>
        </w:rPr>
        <w:t>Can I attend the Annual Meeting?</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The Annual Meeting will be a completely virtual meeting of shareholders.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You are invited to attend the Annual Meeting if you are a registered shareholder as of the record date or if you hold a valid proxy for the Annual Meeting. Registered shareholders and street name shareholders with a legal proxy from their broker, bank or other nominee will be able to attend the Annual Meeting by visiting meetnow.global/MQKSRYF. On the date of the Annual Meeting, these registered shareholders may submit questions while connected to the virtual meeting site of meetnow.global/MQKSRYF. In order to attend the Annual Meeting, vote online and submit questions on Internet, you will need the 16-digit control number which is included in the Notice Regarding the Availability of Proxy Materials mailed to you. Please be aware that you must bear any costs associated with your Internet access, such as usage charges from Internet access providers and telephone companies. If you encounter difficulties accessing the Annual Meeting, please call the technical support number that will be posted on the registration page for the Annual Meeting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7550"/>
                <wp:effectExtent l="0" t="0" r="0" b="0"/>
                <wp:wrapNone/>
                <wp:docPr id="56" name="Frame5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60" w:after="160"/>
        <w:jc w:val="righ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Shareholders of record at the close of business on April 28, 2026, or the record date, are entitled to receive notice of, and attend and vote at the Annual Meeting or any adjournment thereof. A shareholder entitled to attend and vote at the Annual Meeting is entitled to appoint a proxy to attend and vote on his or her behalf. A proxy need not be our shareholders. You may revoke your proxy at any time prior to its exercise at the Annual Meeting. </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Who is entitled to attend and vote at the Annual Meeting?</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Holders of our ordinary shares registered directly in your name with our transfer agent, Computershare Trust Company, N.A., as of the close of business on April 28, 2026, the record date, may attend and vote at the Annual Meeting. As of the record date, there were 29,636,256 shares of our Class A ordinary shares (which had excluded an aggregate of 48,775 Class A ordinary shares issued and reserved for future allocation upon exercise or vesting of awards granted under our share incentive plans, and 447,309 Class A ordinary shares repurchased under our share repurchased program but not yet cancelled) and 7,156,732 shares of our Class B ordinary shares outstanding. Each Class A ordinary shares is entitled to one vote, and each Class B ordinary share is entitled to ten votes. Holders of our Class A ordinary shares and Class B ordinary shares will vote as a single class on all matters described in this proxy statement.</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How does our board of directors recommend I vote on the Proposal?</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 xml:space="preserve">Our board of directors unanimously recommends that you vote: </w:t>
      </w:r>
    </w:p>
    <w:p>
      <w:pPr>
        <w:pStyle w:val="TextBody"/>
        <w:bidi w:val="0"/>
        <w:spacing w:lineRule="auto" w:line="362" w:before="40" w:after="160"/>
        <w:ind w:left="0" w:right="0" w:hanging="360"/>
        <w:jc w:val="both"/>
        <w:rPr/>
      </w:pPr>
      <w:r>
        <w:rPr>
          <w:rFonts w:ascii="Lato;sans-serif" w:hAnsi="Lato;sans-serif"/>
          <w:b/>
          <w:color w:val="000000"/>
          <w:sz w:val="20"/>
        </w:rPr>
        <w:t>1.</w:t>
      </w:r>
      <w:r>
        <w:rPr>
          <w:color w:val="000000"/>
        </w:rPr>
        <w:t>“</w:t>
      </w:r>
      <w:r>
        <w:rPr>
          <w:rFonts w:ascii="Lato;sans-serif" w:hAnsi="Lato;sans-serif"/>
          <w:b/>
          <w:color w:val="000000"/>
          <w:sz w:val="20"/>
        </w:rPr>
        <w:t>FOR”</w:t>
      </w:r>
      <w:r>
        <w:rPr>
          <w:color w:val="000000"/>
        </w:rPr>
        <w:t xml:space="preserve"> </w:t>
      </w:r>
      <w:r>
        <w:rPr>
          <w:rFonts w:ascii="Lato;sans-serif" w:hAnsi="Lato;sans-serif"/>
          <w:b w:val="false"/>
          <w:color w:val="000000"/>
          <w:sz w:val="20"/>
        </w:rPr>
        <w:t>the ratification of the selection and appointment of Grant Thornton LLP, an independent registered public accounting firm, as the independent auditor of GigaCloud Technology Inc for the fiscal year ending December 31, 2026.</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What is the difference between holding shares as a shareholder of record and as a beneficial owner?</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If your shares are registered directly in your name with our transfer agent, Computershare Trust Company, N.A., you are considered the shareholder of record with respect to those shares, and you will receive the Notice Regarding the Availability of Proxy Materials directly. As a shareholder of record, you may vote your shares virtually at the Annual Meeting or by proxy as described below.</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If your shares are held in a share brokerage account or by a bank or other nominee, you are considered the "beneficial owner" of shares held in street name. The Notice and, upon your request, the proxy materials were forwarded to you by your broker, bank or other nominee who is considered, with respect to those shares, the shareholder of record. As the beneficial owner, you have the right to direct your bank, broker or other nominee on how to vote your shares by following their instructions for voting.</w:t>
      </w:r>
    </w:p>
    <w:p>
      <w:pPr>
        <w:pStyle w:val="TextBody"/>
        <w:bidi w:val="0"/>
        <w:spacing w:lineRule="auto" w:line="362" w:before="0" w:after="40"/>
        <w:jc w:val="left"/>
        <w:rPr/>
      </w:pPr>
      <w:r>
        <w:rPr>
          <w:rFonts w:ascii="Lato;sans-serif" w:hAnsi="Lato;sans-serif"/>
          <w:b/>
          <w:color w:val="005CB9"/>
          <w:sz w:val="24"/>
        </w:rPr>
        <w:t>How can I vote my shares?</w:t>
      </w:r>
      <w:r>
        <w:rPr>
          <w:color w:val="005CB9"/>
        </w:rPr>
        <w:t xml:space="preserve"> </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If you are a shareholder of record, you may vote:</w:t>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Via the Internet.</w:t>
      </w:r>
      <w:r>
        <w:rPr>
          <w:color w:val="000000"/>
        </w:rPr>
        <w:t xml:space="preserve"> </w:t>
      </w:r>
      <w:r>
        <w:rPr>
          <w:rFonts w:ascii="Lato;sans-serif" w:hAnsi="Lato;sans-serif"/>
          <w:b w:val="false"/>
          <w:color w:val="000000"/>
          <w:sz w:val="20"/>
        </w:rPr>
        <w:t>You may vote by proxy via the Internet by following the instructions found on the proxy card.</w:t>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By Telephone.</w:t>
      </w:r>
      <w:r>
        <w:rPr>
          <w:color w:val="000000"/>
        </w:rPr>
        <w:t xml:space="preserve"> </w:t>
      </w:r>
      <w:r>
        <w:rPr>
          <w:rFonts w:ascii="Lato;sans-serif" w:hAnsi="Lato;sans-serif"/>
          <w:b w:val="false"/>
          <w:color w:val="000000"/>
          <w:sz w:val="20"/>
        </w:rPr>
        <w:t>You may vote by proxy by calling the toll-free number (within the U.S., U.S. territories and Canada) found on the proxy card.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7550"/>
                <wp:effectExtent l="0" t="0" r="0" b="0"/>
                <wp:wrapNone/>
                <wp:docPr id="57" name="Frame5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By Mail.</w:t>
      </w:r>
      <w:r>
        <w:rPr>
          <w:color w:val="000000"/>
        </w:rPr>
        <w:t xml:space="preserve"> </w:t>
      </w:r>
      <w:r>
        <w:rPr>
          <w:rFonts w:ascii="Lato;sans-serif" w:hAnsi="Lato;sans-serif"/>
          <w:b w:val="false"/>
          <w:color w:val="000000"/>
          <w:sz w:val="20"/>
        </w:rPr>
        <w:t>You may vote by proxy by filling out the proxy card and returning it in the postage-paid envelope.</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Internet and telephone voting will be available 24 hours a day and will close at 11:59 P.M. Eastern Time on July 8, 2026, Wednesday. Votes submitted by mail must be received by 11:59 P.M. Eastern Time on July 8, 2026, Wednesday.</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If you are a beneficial owner of shares held in street name, you should have received from your bank, broker or other nominee instructions on how to vote or instruct the broker to vote your shares, which are generally contained in a "voting instruction form" sent by the broker, bank or other nominee. Please follow their instructions carefully. Beneficial owners generally may vote:</w:t>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Via the Internet.</w:t>
      </w:r>
      <w:r>
        <w:rPr>
          <w:color w:val="000000"/>
        </w:rPr>
        <w:t xml:space="preserve"> </w:t>
      </w:r>
      <w:r>
        <w:rPr>
          <w:rFonts w:ascii="Lato;sans-serif" w:hAnsi="Lato;sans-serif"/>
          <w:b w:val="false"/>
          <w:color w:val="000000"/>
          <w:sz w:val="20"/>
        </w:rPr>
        <w:t>You may vote by proxy via the Internet by following the instructions on the voting instruction form provided to you by your broker, bank or other nominee.</w:t>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By Telephone.</w:t>
      </w:r>
      <w:r>
        <w:rPr>
          <w:color w:val="000000"/>
        </w:rPr>
        <w:t xml:space="preserve"> </w:t>
      </w:r>
      <w:r>
        <w:rPr>
          <w:rFonts w:ascii="Lato;sans-serif" w:hAnsi="Lato;sans-serif"/>
          <w:b w:val="false"/>
          <w:color w:val="000000"/>
          <w:sz w:val="20"/>
        </w:rPr>
        <w:t>You may vote by proxy by calling the toll-free number found on the voting instruction form provided to you by your broker, bank or other nominee.</w:t>
      </w:r>
    </w:p>
    <w:p>
      <w:pPr>
        <w:pStyle w:val="TextBody"/>
        <w:bidi w:val="0"/>
        <w:spacing w:lineRule="auto" w:line="362" w:before="80" w:after="80"/>
        <w:ind w:left="0" w:right="0" w:hanging="216"/>
        <w:jc w:val="both"/>
        <w:rPr/>
      </w:pPr>
      <w:r>
        <w:rPr>
          <w:color w:val="005CB9"/>
        </w:rPr>
        <w:t>•</w:t>
      </w:r>
      <w:r>
        <w:rPr>
          <w:rFonts w:ascii="Lato;sans-serif" w:hAnsi="Lato;sans-serif"/>
          <w:b w:val="false"/>
          <w:i/>
          <w:color w:val="000000"/>
          <w:sz w:val="20"/>
        </w:rPr>
        <w:t>By Mail.</w:t>
      </w:r>
      <w:r>
        <w:rPr>
          <w:color w:val="000000"/>
        </w:rPr>
        <w:t xml:space="preserve"> </w:t>
      </w:r>
      <w:r>
        <w:rPr>
          <w:rFonts w:ascii="Lato;sans-serif" w:hAnsi="Lato;sans-serif"/>
          <w:b w:val="false"/>
          <w:color w:val="000000"/>
          <w:sz w:val="20"/>
        </w:rPr>
        <w:t xml:space="preserve">You may vote by proxy by filling out the voting instruction form and returning it in the postage-paid return envelope provided to you by your broker, bank or other nominee.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If you received more than one Notice Regarding the Availability of Proxy Materials or proxy card, then you hold our shares in more than one account. You should vote for all shares held in each of your accounts.</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Please see "Can I attend the Annual Meeting?" above for more information.</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If I submit a proxy, how will it be voted?</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When proxies are properly signed, dated and returned, the shares represented by the proxies will be voted in accordance with the instructions of the shareholder. If no specific instructions are given, you give authority to the chairman of the Annual Meeting, who is Larry Lei Wu, GigaCloud’s chairman and chief executive officer (or, should Mr. Wu not attend the Annual Meeting, Mr. Zhiwu Chen), to vote the shares in accordance with the recommendations of our board of directors as described above. If any matters not described in this proxy statement are properly presented at the Annual Meeting, then the proxy holders will use their own judgment to determine how to vote the shares. If the Annual Meeting is adjourned, the proxy holders can vote your shares on the new meeting date as well, unless you have revoked your proxy.</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Can I change my vote or revoke my proxy?</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Yes. If you are a shareholder of record, you can change your vote or revoke your proxy before it is exercised by:</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Timely delivery of a written notice that you are revoking your proxy to GigaCloud Technology Inc, 4388 Shirley Avenue, El Monte, CA 91731, USA, Attention: Board Secretary; or</w:t>
      </w:r>
    </w:p>
    <w:p>
      <w:pPr>
        <w:pStyle w:val="TextBody"/>
        <w:bidi w:val="0"/>
        <w:spacing w:lineRule="auto" w:line="362" w:before="80" w:after="80"/>
        <w:ind w:left="0" w:right="0" w:hanging="216"/>
        <w:jc w:val="both"/>
        <w:rPr/>
      </w:pPr>
      <w:r>
        <w:rPr>
          <w:color w:val="005CB9"/>
        </w:rPr>
        <w:t>•</w:t>
      </w:r>
      <w:r>
        <w:rPr>
          <w:rFonts w:ascii="Lato;sans-serif" w:hAnsi="Lato;sans-serif"/>
          <w:b w:val="false"/>
          <w:color w:val="000000"/>
          <w:sz w:val="20"/>
        </w:rPr>
        <w:t>Timely delivery of a valid, later-dated proxy or a later-dated vote by telephone or on the Internet.</w:t>
      </w:r>
    </w:p>
    <w:p>
      <w:pPr>
        <w:pStyle w:val="TextBody"/>
        <w:bidi w:val="0"/>
        <w:spacing w:lineRule="auto" w:line="362" w:before="40" w:after="160"/>
        <w:jc w:val="left"/>
        <w:rPr>
          <w:rFonts w:ascii="Lato;sans-serif" w:hAnsi="Lato;sans-serif"/>
          <w:b w:val="false"/>
          <w:color w:val="000000"/>
          <w:sz w:val="20"/>
        </w:rPr>
      </w:pPr>
      <w:r>
        <w:rPr>
          <w:rFonts w:ascii="Lato;sans-serif" w:hAnsi="Lato;sans-serif"/>
          <w:b w:val="false"/>
          <w:color w:val="000000"/>
          <w:sz w:val="20"/>
        </w:rPr>
        <w:t>Your most current proxy card or Internet proxy is the one that is counted.</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If you are a beneficial owner of shares held in street name, you should follow the instructions of your bank, broker or other nominee to change or revoke your voting instructions.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7550"/>
                <wp:effectExtent l="0" t="0" r="0" b="0"/>
                <wp:wrapNone/>
                <wp:docPr id="58" name="Frame5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52</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60" w:after="160"/>
        <w:jc w:val="righ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Householding of Proxy Materials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The SEC has adopted rules that permit companies and intermediaries (e.g., brokers) to satisfy the delivery requirements for proxy statements and annual reports with respect to two or more shareholders sharing the same address by delivering a single Notice or Proxy Statement addressed to those shareholders. This process, which is commonly referred to as “householding,” potentially means extra convenience for shareholders and cost savings for companies.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Brokers with account holders who are GigaCloud shareholders may be “householding” our proxy materials. A single Notice or Proxy Statement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notify your broker or our company that you no longer wish to participate in “householding.”</w:t>
      </w:r>
    </w:p>
    <w:p>
      <w:pPr>
        <w:pStyle w:val="TextBody"/>
        <w:bidi w:val="0"/>
        <w:spacing w:lineRule="auto" w:line="362" w:before="160" w:after="160"/>
        <w:jc w:val="left"/>
        <w:rPr/>
      </w:pPr>
      <w:r>
        <w:rPr>
          <w:rFonts w:ascii="Lato;sans-serif" w:hAnsi="Lato;sans-serif"/>
          <w:b w:val="false"/>
          <w:color w:val="000000"/>
          <w:sz w:val="20"/>
        </w:rPr>
        <w:t>If, at any time, you no longer wish to participate in “householding” and would prefer to receive a separate proxy statement and annual report, (1) beneficial owners may notify your banks, brokers or other holders of record and (2) shareholders of record may direct your written request to our transfer agent, Computershare Trust Company, N.A. (for overnight mail delivery: 150 Royall St, Suite 101, Canton, MA 02021; for regular mail delivery: PO box 43006, Providence, RI 02940-3006; by telephone: 1-800 736 3001 (toll-free) or 1-781-575 3100 (toll))</w:t>
      </w:r>
      <w:r>
        <w:rPr>
          <w:rFonts w:ascii="Times New Roman;serif" w:hAnsi="Times New Roman;serif"/>
          <w:b w:val="false"/>
          <w:color w:val="000000"/>
          <w:sz w:val="20"/>
        </w:rPr>
        <w:t>.</w:t>
      </w:r>
      <w:r>
        <w:rPr>
          <w:color w:val="000000"/>
        </w:rPr>
        <w:t xml:space="preserve"> </w:t>
      </w:r>
      <w:r>
        <w:rPr>
          <w:rFonts w:ascii="Lato;sans-serif" w:hAnsi="Lato;sans-serif"/>
          <w:b w:val="false"/>
          <w:color w:val="000000"/>
          <w:sz w:val="20"/>
        </w:rPr>
        <w:t xml:space="preserve">A separate copy of the Notice Regarding the Availability of Proxy Materials or the proxy materials will be delivered promptly upon request. Shareholders who currently receive multiple copies of the proxy statement at their address and would like to request “householding” of their communications should contact their banks, brokers or other holders of record, or our transfer agent as indicated above. </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Can I submit questions at the Annual Meeting?</w:t>
      </w:r>
    </w:p>
    <w:p>
      <w:pPr>
        <w:pStyle w:val="TextBody"/>
        <w:bidi w:val="0"/>
        <w:spacing w:lineRule="auto" w:line="362" w:before="160" w:after="40"/>
        <w:jc w:val="both"/>
        <w:rPr>
          <w:rFonts w:ascii="Lato;sans-serif" w:hAnsi="Lato;sans-serif"/>
          <w:b w:val="false"/>
          <w:color w:val="000000"/>
          <w:sz w:val="20"/>
        </w:rPr>
      </w:pPr>
      <w:r>
        <w:rPr>
          <w:rFonts w:ascii="Lato;sans-serif" w:hAnsi="Lato;sans-serif"/>
          <w:b w:val="false"/>
          <w:color w:val="000000"/>
          <w:sz w:val="20"/>
        </w:rPr>
        <w:t>Shareholders of record who log in to the Annual Meeting as a shareholder will have an opportunity to submit questions in writing during the meeting. Shareholder questions or comments are welcome, but we will only answer questions pertinent to matters discussed at the Annual Meeting, subject to time constraints. Substantially similar questions may be grouped together.</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What constitutes a quorum at the Annual Meeting?</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One or more shareholders holding shares which carry in aggregate (or representing by proxy) not less than one-third of all votes attaching to all shares in issue and entitled to vote at the Annual Meeting, present virtually or by proxy or, if a corporation or other non-natural person, by its duly authorized representative, shall be a quorum for the Annual Meeting. You will be considered part of the quorum if you return a signed and dated proxy card, if you vote by telephone or Internet, or if you attend the Annual Meeting virtually.</w:t>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 xml:space="preserve">Abstentions and withhold votes are counted as “shares present” at the Annual Meeting for purposes of determining whether a quorum exists. Proxies submitted by banks, brokers or other holders of record holding shares for you as a beneficial owner that do not indicate a vote for some of or all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“routine” matters even if they do not receive voting instructions from you. We expect that the ordinary resolution to ratify the selection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7550"/>
                <wp:effectExtent l="0" t="0" r="0" b="0"/>
                <wp:wrapNone/>
                <wp:docPr id="59" name="Frame5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62" w:before="160" w:after="160"/>
        <w:jc w:val="left"/>
        <w:rPr>
          <w:rFonts w:ascii="Lato;sans-serif" w:hAnsi="Lato;sans-serif"/>
          <w:b w:val="false"/>
          <w:color w:val="000000"/>
          <w:sz w:val="20"/>
        </w:rPr>
      </w:pPr>
      <w:r>
        <w:rPr>
          <w:rFonts w:ascii="Lato;sans-serif" w:hAnsi="Lato;sans-serif"/>
          <w:b w:val="false"/>
          <w:color w:val="000000"/>
          <w:sz w:val="20"/>
        </w:rPr>
        <w:t>Grant Thornton LLP as our independent auditor for the fiscal year ending December 31, 2026 will be a routine matter. Accordingly, if your shares are held by a brokerage firm, bank or other financial institution on your behalf and you do not instruct the brokerage firm, bank or other financial institution as to how to vote your shares, your brokerage firm, bank or other financial institution will be entitled to exercise discretion to vote your shares only on Proposal 1, but your brokerage firm, bank or other financial institution may not exercise discretion to vote on any other proposal.</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How many votes are needed to approve the Proposal?</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Proposal 1 of this proxy statement requires an ordinary resolution. Broker non-votes and abstentions with respect to Proposal 1 will not be treated as votes cast for this purpose and, therefore, will not affect the outcome of the vote. We expect that there will be no broker non-votes on Proposal 1 due to the discretionary authority granted to brokerage firms, banks and other financial institutions. </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 xml:space="preserve">Provided that there is a quorum, an ordinary resolution to be passed by the shareholders requires the affirmative vote of a simple majority of the votes cast by the shareholders entitled to vote who are present virtually or by proxy at a general meeting. </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What is the impact of abstentions, withhold votes and broker non-votes?</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 xml:space="preserve">Abstentions, withhold votes and broker non-votes are considered “shares present” for the purpose of determining whether a quorum exists, but will not be considered votes properly cast at the Annual Meeting and will have no effect on the outcome of the vote. Our shareholders have no rights under the Cayman Islands Companies Act to exercise dissenters’ or appraisal rights with respect to the proposals being voted on. </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Who pays for the cost of this proxy solicitation?</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We will pay all the costs of preparing, mailing and soliciting the proxies. We will ask brokers, banks, voting trustees and other nominees and fiduciaries to forward the proxy materials to the beneficial owners of our ordinary shares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Where can I find the voting results of the Annual Meeting?</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We will announce preliminary voting results at the Annual Meeting. We also will disclose voting results on a Current Report on Form 8-K that we will file with the SEC within four business days after the Annual Meeting.</w:t>
      </w:r>
    </w:p>
    <w:p>
      <w:pPr>
        <w:pStyle w:val="TextBody"/>
        <w:bidi w:val="0"/>
        <w:spacing w:lineRule="auto" w:line="362" w:before="0" w:after="40"/>
        <w:jc w:val="left"/>
        <w:rPr>
          <w:rFonts w:ascii="Lato;sans-serif" w:hAnsi="Lato;sans-serif"/>
          <w:b/>
          <w:color w:val="005CB9"/>
          <w:sz w:val="24"/>
        </w:rPr>
      </w:pPr>
      <w:r>
        <w:rPr>
          <w:rFonts w:ascii="Lato;sans-serif" w:hAnsi="Lato;sans-serif"/>
          <w:b/>
          <w:color w:val="005CB9"/>
          <w:sz w:val="24"/>
        </w:rPr>
        <w:t>Why did I receive a Notice Regarding the Availability of Proxy Materials rather than a full set of proxy materials?</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In accordance with the SEC rules, we have elected to furnish our proxy materials, including this proxy statement, the Proxy Card and the 2025 Annual Report, primarily via the Internet rather than by mailing the materials to shareholders. The Notice Regarding the Availability of Proxy Materials provides instructions on how to access our proxy materials on the Internet, how to vote, and how to request printed copies of the proxy materials. Shareholders may request to receive future proxy materials in printed form by following the instructions contained in the Notice Regarding the Availability of Proxy Materials. We encourage shareholders to take advantage of the proxy materials on the Internet to reduce the costs and environmental impact of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17550"/>
                <wp:effectExtent l="0" t="0" r="0" b="0"/>
                <wp:wrapNone/>
                <wp:docPr id="60" name="Frame5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54</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60" w:after="160"/>
        <w:jc w:val="righ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How can I obtain GigaCloud's Form 10-K and other financial information?</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Shareholders can access the 2025 Annual Report, which includes our Form 10-K, other financial information and exhibits, on our website at https://www.gigacloudtech.com/. Alternatively, shareholders can request a paper copy of the 2025 Annual Report free of charge by writing to: GigaCloud Technology Inc, 4388 Shirley Avenue, El Monte, CA 91731, USA, Attention: Board Secretary.</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We have filed the 2025 Annual Report on Form 10-K with the SEC. It is available free of charge at the SEC’s web site at www.sec.gov.</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How do I submit a shareholder proposal for consideration at next year's annual meeting of shareholders?</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not less than 10 percent of all votes attaching to the issued and outstanding of our ordinary shares that as at the date of the deposit carry the right to vote at general meetings, our board of directors will convene an extraordinary general meeting and put the resolutions so requisitioned to a vote at such meeting. Under our memorandum and articles of association, our shareholders do not have any right to submit a proposal for inclusion at our annual general meetings. However, our directors will consider any such proposal which is submitted by a shareholder in accordance with the next paragraph, and may, at the sole and absolute discretion of our board of directors, include such proposal for the next annual general meeting. </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 xml:space="preserve">Shareholders may present proper proposals for inclusion in our proxy statement and for consideration at our next annual general meeting of shareholders by submitting their proposals in writing to us in a timely manner. In order to be considered for inclusion in the proxy statement for the 2027 annual general meeting of shareholders, shareholder proposals must be received at our principal executive offices no later than December 15, 2026, and must otherwise comply with the requirements of Rule 14a-8 of the Exchange Act. Any other shareholder proposal for the annual general meeting of shareholders in 2027, which is submitted outside the processes of Rule 14a-8, shall be considered untimely unless received by us in writing no later than March 16, 2027. However, if the date of the annual general meeting is moved by more than 30 days from the date contemplated at the time of this year’s proxy statement, then notice must be received within a reasonable time before we begin to print and send proxy materials. Your proposal must be in writing and comply with the proxy rules of the SEC. You should send your proposal to: GigaCloud Technology Inc, 4388 Shirley Avenue, El Monte, CA 91731, USA, Attention: Board Secretary. </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How do I recommend a director nominee?</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Under Cayman Islands law, shareholders do not have the right to nominate a person for election as a director directly. However, if shareholders submit information about a potential candidate for the board to our Nominating and Corporate Governance Committee, our Nominating and Corporate Governance Committee will consider whether they are appropriate for nomination to our board. The ultimate decision as to whether or not to propose a potential candidate for election shall be at the sole and absolute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17550"/>
                <wp:effectExtent l="0" t="0" r="0" b="0"/>
                <wp:wrapNone/>
                <wp:docPr id="61" name="Frame5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Layout w:type="fixed"/>
                        <w:tblCellMar>
                          <w:top w:w="28" w:type="dxa"/>
                          <w:left w:w="28" w:type="dxa"/>
                          <w:bottom w:w="28" w:type="dxa"/>
                          <w:right w:w="28" w:type="dxa"/>
                        </w:tblCellMar>
                      </w:tblPr>
                      <w:tblGrid>
                        <w:gridCol w:w="706"/>
                        <w:gridCol w:w="620"/>
                        <w:gridCol w:w="623"/>
                        <w:gridCol w:w="114"/>
                        <w:gridCol w:w="114"/>
                        <w:gridCol w:w="163"/>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6"/>
                              </w:rPr>
                            </w:pPr>
                            <w:r>
                              <w:rPr>
                                <w:rFonts w:ascii="Lato;sans-serif" w:hAnsi="Lato;sans-serif"/>
                                <w:b/>
                                <w:color w:val="000000"/>
                                <w:sz w:val="16"/>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Lato;sans-serif" w:hAnsi="Lato;sans-serif"/>
                                <w:b/>
                                <w:color w:val="000000"/>
                                <w:sz w:val="16"/>
                              </w:rPr>
                            </w:pPr>
                            <w:r>
                              <w:rPr>
                                <w:rFonts w:ascii="Lato;sans-serif" w:hAnsi="Lato;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40" w:before="340" w:after="330"/>
        <w:jc w:val="center"/>
        <w:rPr>
          <w:rFonts w:ascii="Lato;sans-serif" w:hAnsi="Lato;sans-serif"/>
          <w:b/>
          <w:color w:val="0070C0"/>
          <w:sz w:val="52"/>
        </w:rPr>
      </w:pPr>
      <w:r>
        <w:rPr>
          <w:rFonts w:ascii="Lato;sans-serif" w:hAnsi="Lato;sans-serif"/>
          <w:b/>
          <w:color w:val="0070C0"/>
          <w:sz w:val="52"/>
        </w:rPr>
        <w:t>Additional Information</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Where You Can Find More Information</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We file annual, quarterly and current reports, proxy statements and other information with the SEC.</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Our SEC filings are available to the public at the website maintained by the SEC at https://www.sec.gov. You may also read and copy any document we file with the SEC on our website at https://www.gigacloudtech.com/. The information on our website should not be deemed to be part of this proxy statement.</w:t>
      </w:r>
    </w:p>
    <w:p>
      <w:pPr>
        <w:pStyle w:val="TextBody"/>
        <w:bidi w:val="0"/>
        <w:spacing w:lineRule="auto" w:line="362" w:before="40" w:after="160"/>
        <w:jc w:val="both"/>
        <w:rPr>
          <w:rFonts w:ascii="Lato;sans-serif" w:hAnsi="Lato;sans-serif"/>
          <w:b w:val="false"/>
          <w:color w:val="000000"/>
          <w:sz w:val="20"/>
        </w:rPr>
      </w:pPr>
      <w:r>
        <w:rPr>
          <w:rFonts w:ascii="Lato;sans-serif" w:hAnsi="Lato;sans-serif"/>
          <w:b w:val="false"/>
          <w:color w:val="000000"/>
          <w:sz w:val="20"/>
        </w:rPr>
        <w:t>You should rely on the information contained in this document. We have not authorized anyone to provide you with information that is different from what is contained in this document. This document is dated April 30, 2026. You should not assume that the information contained in this document is accurate as of any date other than that date, and the mailing of this document to shareholders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pStyle w:val="TextBody"/>
        <w:bidi w:val="0"/>
        <w:spacing w:lineRule="auto" w:line="362" w:before="160" w:after="40"/>
        <w:jc w:val="left"/>
        <w:rPr>
          <w:rFonts w:ascii="Lato;sans-serif" w:hAnsi="Lato;sans-serif"/>
          <w:b/>
          <w:color w:val="005CB9"/>
          <w:sz w:val="24"/>
        </w:rPr>
      </w:pPr>
      <w:r>
        <w:rPr>
          <w:rFonts w:ascii="Lato;sans-serif" w:hAnsi="Lato;sans-serif"/>
          <w:b/>
          <w:color w:val="005CB9"/>
          <w:sz w:val="24"/>
        </w:rPr>
        <w:t>Other Business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Our board of directors does not know of any other matters to be presented at the Annual Meeting. If any additional matters are properly presented at the Annual Meeting, the person named in the proxy card will have discretion to vote the shares represented by proxy in accordance with their own judgment on such matters.</w:t>
      </w:r>
    </w:p>
    <w:p>
      <w:pPr>
        <w:pStyle w:val="TextBody"/>
        <w:bidi w:val="0"/>
        <w:spacing w:lineRule="auto" w:line="362" w:before="160" w:after="160"/>
        <w:jc w:val="both"/>
        <w:rPr>
          <w:rFonts w:ascii="Lato;sans-serif" w:hAnsi="Lato;sans-serif"/>
          <w:b w:val="false"/>
          <w:color w:val="000000"/>
          <w:sz w:val="20"/>
        </w:rPr>
      </w:pPr>
      <w:r>
        <w:rPr>
          <w:rFonts w:ascii="Lato;sans-serif" w:hAnsi="Lato;sans-serif"/>
          <w:b w:val="false"/>
          <w:color w:val="000000"/>
          <w:sz w:val="20"/>
        </w:rPr>
        <w:t>It is important that your shares be represented at the Annual Meeting, regardless of the number of shares that you hold. We urge you to vote by telephone, by Internet or by executing and returning the proxy card at your earliest convenience.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17550"/>
                <wp:effectExtent l="0" t="0" r="0" b="0"/>
                <wp:wrapNone/>
                <wp:docPr id="62" name="Frame5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130"/>
                        <w:gridCol w:w="115"/>
                        <w:gridCol w:w="116"/>
                        <w:gridCol w:w="764"/>
                        <w:gridCol w:w="764"/>
                        <w:gridCol w:w="108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16"/>
                              </w:rPr>
                            </w:pPr>
                            <w:r>
                              <w:rPr>
                                <w:rFonts w:ascii="Lato;sans-serif" w:hAnsi="Lato;sans-serif"/>
                                <w:b/>
                                <w:color w:val="000000"/>
                                <w:sz w:val="16"/>
                              </w:rPr>
                              <w:t>56</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GigaCloud Technology Inc</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40" w:after="160"/>
        <w:jc w:val="both"/>
        <w:rPr/>
      </w:pPr>
      <w:r>
        <w:rPr/>
      </w:r>
    </w:p>
    <w:p>
      <w:pPr>
        <w:pStyle w:val="TextBody"/>
        <w:bidi w:val="0"/>
        <w:spacing w:before="40" w:after="160"/>
        <w:jc w:val="both"/>
        <w:rPr/>
      </w:pPr>
      <w:r>
        <w:rPr/>
        <w:drawing>
          <wp:inline distT="0" distB="0" distL="0" distR="0">
            <wp:extent cx="5829300" cy="7543800"/>
            <wp:effectExtent l="0" t="0" r="0" b="0"/>
            <wp:docPr id="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7" descr=""/>
                    <pic:cNvPicPr>
                      <a:picLocks noChangeAspect="1" noChangeArrowheads="1"/>
                    </pic:cNvPicPr>
                  </pic:nvPicPr>
                  <pic:blipFill>
                    <a:blip r:embed="rId8"/>
                    <a:stretch>
                      <a:fillRect/>
                    </a:stretch>
                  </pic:blipFill>
                  <pic:spPr bwMode="auto">
                    <a:xfrm>
                      <a:off x="0" y="0"/>
                      <a:ext cx="5829300" cy="7543800"/>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40" w:after="160"/>
        <w:jc w:val="both"/>
        <w:rPr/>
      </w:pPr>
      <w:r>
        <w:rPr/>
        <w:drawing>
          <wp:inline distT="0" distB="0" distL="0" distR="0">
            <wp:extent cx="5829300" cy="7543800"/>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5829300" cy="7543800"/>
                    </a:xfrm>
                    <a:prstGeom prst="rect">
                      <a:avLst/>
                    </a:prstGeom>
                  </pic:spPr>
                </pic:pic>
              </a:graphicData>
            </a:graphic>
          </wp:inline>
        </w:drawing>
      </w:r>
      <w:bookmarkStart w:id="7" w:name="i-8"/>
      <w:bookmarkEnd w:id="7"/>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19861</Words>
  <Characters>107124</Characters>
  <CharactersWithSpaces>126112</CharactersWithSpaces>
  <Paragraphs>1519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