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10,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GigaCloud Technology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Cayman Islands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001-41454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00-0000000</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4388 Shirley Ave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El Monte, CA 91731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(626) 912-8886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768" w:type="dxa"/>
        <w:jc w:val="left"/>
        <w:tblInd w:w="0" w:type="dxa"/>
        <w:tblLayout w:type="fixed"/>
        <w:tblCellMar>
          <w:top w:w="28" w:type="dxa"/>
          <w:left w:w="28" w:type="dxa"/>
          <w:bottom w:w="28" w:type="dxa"/>
          <w:right w:w="28" w:type="dxa"/>
        </w:tblCellMar>
      </w:tblPr>
      <w:tblGrid>
        <w:gridCol w:w="1593"/>
        <w:gridCol w:w="1401"/>
        <w:gridCol w:w="1401"/>
        <w:gridCol w:w="516"/>
        <w:gridCol w:w="516"/>
        <w:gridCol w:w="516"/>
        <w:gridCol w:w="1120"/>
        <w:gridCol w:w="1120"/>
        <w:gridCol w:w="1585"/>
      </w:tblGrid>
      <w:tr>
        <w:trPr/>
        <w:tc>
          <w:tcPr>
            <w:tcW w:w="15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76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ordinary shares, par value $0.05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GCT</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
              <w:jc w:val="left"/>
              <w:rPr>
                <w:color w:val="000000"/>
              </w:rPr>
            </w:pPr>
            <w:r>
              <w:rPr>
                <w:color w:val="000000"/>
              </w:rPr>
              <w:t>☐</w:t>
            </w:r>
          </w:p>
        </w:tc>
      </w:tr>
    </w:tbl>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On July 10, 2026, the Company held the Annual Meeting. At the start of the Annual Meeting, there were 30,132,340 shares of the Company’s Class A Ordinary Shares, par value $0.05 per share (the “Class A Ordinary Shares”), which had an aggregate of 20,247,956 votes, and 7,156,732 shares of the Company’s Class B Ordinary Shares, par value $0.05 per share (the “Class B Ordinary Shares”), which had an aggregate of 71,517,320 votes present virtually or by proxy, together representing 90.23% of the combined voting power of all issued and outstanding shares of Class A Ordinary Shares and Class B Ordinary Shares entitled to vote at the Annual Meeting, which constituted a quorum for the transaction of business. In deciding the proposals at the Annual Meeting, the holders of the Company’s Class A Ordinary Shares were entitled to one vote for each share held as of the close of business on April 28, 2026 (the “Record Date”) and the holders of the Company’s Class B Ordinary Shares were entitled to ten votes for each share held as of the close of business on the Record Date. The Class A Ordinary Shares and Class B Ordinary Shares voted as a single class on all matters.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At the Annual Meeting, the Company’s shareholders voted on the proposal below, which is described more fully in the Proxy Statement. The matter was approved. The final voting results for the proposal are as follows:</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Proposal 1: As an ordinary resolution, that the selection and appointment of Grant Thornton LLP, an independent registered public accounting firm, as the independent auditor of the Company for the fiscal year ending December 31, 2026, be and is hereby ratified and confirmed.</w:t>
      </w:r>
    </w:p>
    <w:tbl>
      <w:tblPr>
        <w:tblW w:w="4555" w:type="dxa"/>
        <w:jc w:val="center"/>
        <w:tblInd w:w="0" w:type="dxa"/>
        <w:tblLayout w:type="fixed"/>
        <w:tblCellMar>
          <w:top w:w="28" w:type="dxa"/>
          <w:left w:w="28" w:type="dxa"/>
          <w:bottom w:w="28" w:type="dxa"/>
          <w:right w:w="28" w:type="dxa"/>
        </w:tblCellMar>
      </w:tblPr>
      <w:tblGrid>
        <w:gridCol w:w="380"/>
        <w:gridCol w:w="332"/>
        <w:gridCol w:w="339"/>
        <w:gridCol w:w="109"/>
        <w:gridCol w:w="109"/>
        <w:gridCol w:w="109"/>
        <w:gridCol w:w="250"/>
        <w:gridCol w:w="250"/>
        <w:gridCol w:w="251"/>
        <w:gridCol w:w="109"/>
        <w:gridCol w:w="109"/>
        <w:gridCol w:w="109"/>
        <w:gridCol w:w="250"/>
        <w:gridCol w:w="250"/>
        <w:gridCol w:w="251"/>
        <w:gridCol w:w="109"/>
        <w:gridCol w:w="109"/>
        <w:gridCol w:w="109"/>
        <w:gridCol w:w="299"/>
        <w:gridCol w:w="299"/>
        <w:gridCol w:w="423"/>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Broker</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91,729,257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31,636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240" w:after="2"/>
        <w:jc w:val="left"/>
        <w:rPr/>
      </w:pPr>
      <w:r>
        <w:rPr>
          <w:rFonts w:ascii="Times New Roman;serif" w:hAnsi="Times New Roman;serif"/>
          <w:b w:val="false"/>
          <w:color w:val="000000"/>
          <w:sz w:val="20"/>
        </w:rPr>
        <w:t>Accordingly, Proposal 1 was carried as an ordinary resolution. The shareholders ratified and confirmed the selection and appointment of Grant Thornton LLP, an independent registered public accounting firm, as the independent auditor of the Company for the year ending December 31, 2026.</w:t>
      </w:r>
      <w:r>
        <w:rPr>
          <w:color w:val="000000"/>
        </w:rPr>
        <w:t xml:space="preserve"> </w:t>
      </w:r>
    </w:p>
    <w:p>
      <w:pPr>
        <w:pStyle w:val="TextBody"/>
        <w:bidi w:val="0"/>
        <w:spacing w:before="240" w:after="283"/>
        <w:jc w:val="left"/>
        <w:rPr/>
      </w:pPr>
      <w:r>
        <w:rPr/>
      </w:r>
    </w:p>
    <w:p>
      <w:pPr>
        <w:pStyle w:val="TextBody"/>
        <w:bidi w:val="0"/>
        <w:spacing w:before="24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13th day of July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4474" w:type="dxa"/>
        <w:jc w:val="right"/>
        <w:tblInd w:w="0" w:type="dxa"/>
        <w:tblLayout w:type="fixed"/>
        <w:tblCellMar>
          <w:top w:w="28" w:type="dxa"/>
          <w:left w:w="28" w:type="dxa"/>
          <w:bottom w:w="28" w:type="dxa"/>
          <w:right w:w="28" w:type="dxa"/>
        </w:tblCellMar>
      </w:tblPr>
      <w:tblGrid>
        <w:gridCol w:w="415"/>
        <w:gridCol w:w="365"/>
        <w:gridCol w:w="365"/>
        <w:gridCol w:w="970"/>
        <w:gridCol w:w="970"/>
        <w:gridCol w:w="1389"/>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4474"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GigaCloud Technology Inc</w:t>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Larry Lei Wu</w:t>
            </w:r>
          </w:p>
        </w:tc>
      </w:tr>
      <w:tr>
        <w:trPr/>
        <w:tc>
          <w:tcPr>
            <w:tcW w:w="1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Larry Lei Wu</w:t>
            </w:r>
          </w:p>
        </w:tc>
      </w:tr>
      <w:tr>
        <w:trPr/>
        <w:tc>
          <w:tcPr>
            <w:tcW w:w="1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3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 and</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3850</Characters>
  <CharactersWithSpaces>4488</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