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6998970" cy="8833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33485"/>
                    </a:xfrm>
                    <a:prstGeom prst="rect">
                      <a:avLst/>
                    </a:prstGeom>
                    <a:noFill/>
                  </pic:spPr>
                </pic:pic>
              </a:graphicData>
            </a:graphic>
          </wp:anchor>
        </w:drawing>
      </w:r>
    </w:p>
    <w:p>
      <w:pPr>
        <w:spacing w:after="0" w:line="1077"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Wu Lei</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340"/>
        <w:spacing w:after="0" w:line="356" w:lineRule="auto"/>
        <w:rPr>
          <w:sz w:val="20"/>
          <w:szCs w:val="20"/>
          <w:color w:val="auto"/>
        </w:rPr>
      </w:pPr>
      <w:r>
        <w:rPr>
          <w:rFonts w:ascii="Times New Roman" w:cs="Times New Roman" w:eastAsia="Times New Roman" w:hAnsi="Times New Roman"/>
          <w:sz w:val="16"/>
          <w:szCs w:val="16"/>
          <w:color w:val="0000FF"/>
        </w:rPr>
        <w:t>C/O GIGACLOUD TECHNOLOGY INC 4388 SHIRLEY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GigaCloud Technology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GCT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06/02/2026</w:t>
      </w:r>
    </w:p>
    <w:p>
      <w:pPr>
        <w:spacing w:after="0" w:line="20" w:lineRule="exact"/>
        <w:rPr>
          <w:sz w:val="24"/>
          <w:szCs w:val="24"/>
          <w:color w:val="auto"/>
        </w:rPr>
      </w:pPr>
      <w:r>
        <w:rPr>
          <w:sz w:val="24"/>
          <w:szCs w:val="24"/>
          <w:color w:val="auto"/>
        </w:rPr>
        <w:br w:type="column"/>
      </w:r>
    </w:p>
    <w:p>
      <w:pPr>
        <w:ind w:left="-5" w:right="740" w:firstLine="5"/>
        <w:spacing w:after="0" w:line="28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5"/>
        <w:spacing w:after="0"/>
        <w:tabs>
          <w:tab w:leader="none" w:pos="1725"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11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815"/>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96" w:lineRule="exact"/>
        <w:rPr>
          <w:sz w:val="24"/>
          <w:szCs w:val="24"/>
          <w:color w:val="auto"/>
        </w:rPr>
      </w:pPr>
    </w:p>
    <w:p>
      <w:pPr>
        <w:sectPr>
          <w:pgSz w:w="11900" w:h="16838" w:orient="portrait"/>
          <w:cols w:equalWidth="0" w:num="3">
            <w:col w:w="3180" w:space="720"/>
            <w:col w:w="3105" w:space="720"/>
            <w:col w:w="3355"/>
          </w:cols>
          <w:pgMar w:left="460" w:top="213" w:right="359" w:bottom="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0" w:type="dxa"/>
            <w:vAlign w:val="bottom"/>
            <w:gridSpan w:val="10"/>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60" w:type="dxa"/>
            <w:vAlign w:val="bottom"/>
          </w:tcPr>
          <w:p>
            <w:pPr>
              <w:spacing w:after="0"/>
              <w:rPr>
                <w:sz w:val="14"/>
                <w:szCs w:val="14"/>
                <w:color w:val="auto"/>
              </w:rPr>
            </w:pPr>
          </w:p>
        </w:tc>
        <w:tc>
          <w:tcPr>
            <w:tcW w:w="3660" w:type="dxa"/>
            <w:vAlign w:val="bottom"/>
            <w:gridSpan w:val="9"/>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EL MONTE</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7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91731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4"/>
          </w:tcPr>
          <w:p>
            <w:pPr>
              <w:ind w:left="320"/>
              <w:spacing w:after="0"/>
              <w:rPr>
                <w:sz w:val="20"/>
                <w:szCs w:val="20"/>
                <w:color w:val="auto"/>
              </w:rPr>
            </w:pPr>
            <w:r>
              <w:rPr>
                <w:rFonts w:ascii="Arial" w:cs="Arial" w:eastAsia="Arial" w:hAnsi="Arial"/>
                <w:sz w:val="12"/>
                <w:szCs w:val="12"/>
                <w:color w:val="auto"/>
              </w:rPr>
              <w:t>Form filed by One Reporting Person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gridSpan w:val="7"/>
          </w:tcPr>
          <w:p>
            <w:pPr>
              <w:ind w:left="3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color w:val="auto"/>
              </w:rPr>
              <w:t>(City)</w:t>
            </w:r>
          </w:p>
        </w:tc>
        <w:tc>
          <w:tcPr>
            <w:tcW w:w="5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780" w:type="dxa"/>
            <w:vAlign w:val="bottom"/>
          </w:tcPr>
          <w:p>
            <w:pPr>
              <w:ind w:left="140"/>
              <w:spacing w:after="0"/>
              <w:rPr>
                <w:sz w:val="20"/>
                <w:szCs w:val="20"/>
                <w:color w:val="auto"/>
              </w:rPr>
            </w:pPr>
            <w:r>
              <w:rPr>
                <w:rFonts w:ascii="Arial" w:cs="Arial" w:eastAsia="Arial" w:hAnsi="Arial"/>
                <w:sz w:val="12"/>
                <w:szCs w:val="12"/>
                <w:color w:val="auto"/>
              </w:rPr>
              <w:t>(Zip)</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240" w:type="dxa"/>
            <w:vAlign w:val="bottom"/>
            <w:tcBorders>
              <w:top w:val="single" w:sz="8" w:color="2C2C2C"/>
            </w:tcBorders>
            <w:gridSpan w:val="17"/>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4"/>
          </w:tcPr>
          <w:p>
            <w:pPr>
              <w:ind w:left="100"/>
              <w:spacing w:after="0"/>
              <w:rPr>
                <w:sz w:val="20"/>
                <w:szCs w:val="20"/>
                <w:color w:val="auto"/>
              </w:rPr>
            </w:pPr>
            <w:r>
              <w:rPr>
                <w:rFonts w:ascii="Arial" w:cs="Arial" w:eastAsia="Arial" w:hAnsi="Arial"/>
                <w:sz w:val="11"/>
                <w:szCs w:val="11"/>
                <w:b w:val="1"/>
                <w:bCs w:val="1"/>
                <w:color w:val="auto"/>
                <w:w w:val="98"/>
              </w:rPr>
              <w:t>2A. Deemed</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6"/>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11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6"/>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1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gridSpan w:val="4"/>
            <w:vMerge w:val="restart"/>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By Shan Lao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Hu Tong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Ordinary Shares, par value $0.05 per</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LLC and Ji</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80" w:type="dxa"/>
            <w:vAlign w:val="bottom"/>
            <w:gridSpan w:val="8"/>
            <w:vMerge w:val="continue"/>
          </w:tcPr>
          <w:p>
            <w:pPr>
              <w:spacing w:after="0"/>
              <w:rPr>
                <w:sz w:val="8"/>
                <w:szCs w:val="8"/>
                <w:color w:val="auto"/>
              </w:rPr>
            </w:pPr>
          </w:p>
        </w:tc>
        <w:tc>
          <w:tcPr>
            <w:tcW w:w="9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0000FF"/>
              </w:rPr>
              <w:t>06/02/2026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43,050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40" w:type="dxa"/>
            <w:vAlign w:val="bottom"/>
            <w:gridSpan w:val="3"/>
            <w:vMerge w:val="restart"/>
          </w:tcPr>
          <w:p>
            <w:pPr>
              <w:jc w:val="right"/>
              <w:ind w:right="603"/>
              <w:spacing w:after="0"/>
              <w:rPr>
                <w:sz w:val="20"/>
                <w:szCs w:val="20"/>
                <w:color w:val="auto"/>
              </w:rPr>
            </w:pPr>
            <w:r>
              <w:rPr>
                <w:rFonts w:ascii="Times New Roman" w:cs="Times New Roman" w:eastAsia="Times New Roman" w:hAnsi="Times New Roman"/>
                <w:sz w:val="16"/>
                <w:szCs w:val="16"/>
                <w:color w:val="0000FF"/>
              </w:rPr>
              <w:t>43,050</w:t>
            </w: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I</w:t>
            </w: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Xiang Hu</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Tong</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Holdings</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gridSpan w:val="4"/>
          </w:tcPr>
          <w:p>
            <w:pPr>
              <w:ind w:left="40"/>
              <w:spacing w:after="0" w:line="261" w:lineRule="exact"/>
              <w:rPr>
                <w:sz w:val="20"/>
                <w:szCs w:val="20"/>
                <w:color w:val="auto"/>
              </w:rPr>
            </w:pPr>
            <w:r>
              <w:rPr>
                <w:rFonts w:ascii="Times New Roman" w:cs="Times New Roman" w:eastAsia="Times New Roman" w:hAnsi="Times New Roman"/>
                <w:sz w:val="30"/>
                <w:szCs w:val="30"/>
                <w:color w:val="0000FF"/>
                <w:vertAlign w:val="subscript"/>
              </w:rPr>
              <w:t>Limited</w:t>
            </w:r>
            <w:r>
              <w:rPr>
                <w:rFonts w:ascii="Times New Roman" w:cs="Times New Roman" w:eastAsia="Times New Roman" w:hAnsi="Times New Roman"/>
                <w:sz w:val="10"/>
                <w:szCs w:val="10"/>
                <w:color w:val="008000"/>
              </w:rPr>
              <w:t>(1)(2)(3)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80" w:type="dxa"/>
            <w:vAlign w:val="bottom"/>
            <w:tcBorders>
              <w:top w:val="single" w:sz="8" w:color="2C2C2C"/>
            </w:tcBorders>
            <w:gridSpan w:val="8"/>
          </w:tcPr>
          <w:p>
            <w:pPr>
              <w:ind w:left="60"/>
              <w:spacing w:after="0"/>
              <w:rPr>
                <w:sz w:val="20"/>
                <w:szCs w:val="20"/>
                <w:color w:val="auto"/>
              </w:rPr>
            </w:pPr>
            <w:r>
              <w:rPr>
                <w:rFonts w:ascii="Times New Roman" w:cs="Times New Roman" w:eastAsia="Times New Roman" w:hAnsi="Times New Roman"/>
                <w:sz w:val="16"/>
                <w:szCs w:val="16"/>
                <w:color w:val="0000FF"/>
              </w:rPr>
              <w:t>Class A Ordinary Shares, par value $0.05 per</w:t>
            </w:r>
          </w:p>
        </w:tc>
        <w:tc>
          <w:tcPr>
            <w:tcW w:w="3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3"/>
            <w:vMerge w:val="restart"/>
          </w:tcPr>
          <w:p>
            <w:pPr>
              <w:jc w:val="right"/>
              <w:ind w:right="563"/>
              <w:spacing w:after="0"/>
              <w:rPr>
                <w:sz w:val="20"/>
                <w:szCs w:val="20"/>
                <w:color w:val="auto"/>
              </w:rPr>
            </w:pPr>
            <w:r>
              <w:rPr>
                <w:rFonts w:ascii="Times New Roman" w:cs="Times New Roman" w:eastAsia="Times New Roman" w:hAnsi="Times New Roman"/>
                <w:sz w:val="16"/>
                <w:szCs w:val="16"/>
                <w:color w:val="0000FF"/>
              </w:rPr>
              <w:t>160,000</w:t>
            </w: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(3)</w:t>
            </w:r>
          </w:p>
        </w:tc>
        <w:tc>
          <w:tcPr>
            <w:tcW w:w="2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7"/>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20" w:type="dxa"/>
            <w:vAlign w:val="bottom"/>
            <w:gridSpan w:val="14"/>
          </w:tcPr>
          <w:p>
            <w:pPr>
              <w:ind w:left="1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4"/>
                <w:szCs w:val="14"/>
                <w:color w:val="auto"/>
              </w:rPr>
            </w:pPr>
          </w:p>
        </w:tc>
        <w:tc>
          <w:tcPr>
            <w:tcW w:w="880" w:type="dxa"/>
            <w:vAlign w:val="bottom"/>
            <w:gridSpan w:val="5"/>
          </w:tcPr>
          <w:p>
            <w:pPr>
              <w:ind w:left="60"/>
              <w:spacing w:after="0"/>
              <w:rPr>
                <w:sz w:val="20"/>
                <w:szCs w:val="20"/>
                <w:color w:val="auto"/>
              </w:rPr>
            </w:pPr>
            <w:r>
              <w:rPr>
                <w:rFonts w:ascii="Arial" w:cs="Arial" w:eastAsia="Arial" w:hAnsi="Arial"/>
                <w:sz w:val="11"/>
                <w:szCs w:val="11"/>
                <w:b w:val="1"/>
                <w:bCs w:val="1"/>
                <w:color w:val="auto"/>
              </w:rPr>
              <w:t>4. Transaction</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w w:val="97"/>
              </w:rPr>
              <w:t>7. Title and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8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Code (Instr. 8)</w:t>
            </w: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6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4"/>
              </w:rPr>
              <w:t>Securities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84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88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88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88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132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200" w:type="dxa"/>
            <w:vAlign w:val="bottom"/>
            <w:gridSpan w:val="3"/>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Forward</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Shan Lao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Ordinary</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Hu Tong LLC</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4"/>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sale</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58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(4)(5)(6)</w:t>
            </w: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gridSpan w:val="2"/>
            <w:vMerge w:val="restart"/>
          </w:tcPr>
          <w:p>
            <w:pPr>
              <w:ind w:left="80"/>
              <w:spacing w:after="0" w:line="224" w:lineRule="exact"/>
              <w:rPr>
                <w:sz w:val="20"/>
                <w:szCs w:val="20"/>
                <w:color w:val="auto"/>
              </w:rPr>
            </w:pPr>
            <w:r>
              <w:rPr>
                <w:rFonts w:ascii="Times New Roman" w:cs="Times New Roman" w:eastAsia="Times New Roman" w:hAnsi="Times New Roman"/>
                <w:sz w:val="24"/>
                <w:szCs w:val="24"/>
                <w:color w:val="0000FF"/>
                <w:vertAlign w:val="subscript"/>
              </w:rPr>
              <w:t>J/K</w:t>
            </w:r>
            <w:r>
              <w:rPr>
                <w:rFonts w:ascii="Times New Roman" w:cs="Times New Roman" w:eastAsia="Times New Roman" w:hAnsi="Times New Roman"/>
                <w:sz w:val="10"/>
                <w:szCs w:val="10"/>
                <w:color w:val="008000"/>
              </w:rPr>
              <w:t>(4)(5)(6)</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Shares,</w:t>
            </w:r>
          </w:p>
        </w:tc>
        <w:tc>
          <w:tcPr>
            <w:tcW w:w="6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43,050</w:t>
            </w:r>
          </w:p>
        </w:tc>
        <w:tc>
          <w:tcPr>
            <w:tcW w:w="740" w:type="dxa"/>
            <w:vAlign w:val="bottom"/>
            <w:gridSpan w:val="2"/>
            <w:vMerge w:val="restart"/>
          </w:tcPr>
          <w:p>
            <w:pPr>
              <w:jc w:val="right"/>
              <w:ind w:right="163"/>
              <w:spacing w:after="0"/>
              <w:rPr>
                <w:sz w:val="20"/>
                <w:szCs w:val="20"/>
                <w:color w:val="auto"/>
              </w:rPr>
            </w:pPr>
            <w:r>
              <w:rPr>
                <w:rFonts w:ascii="Times New Roman" w:cs="Times New Roman" w:eastAsia="Times New Roman" w:hAnsi="Times New Roman"/>
                <w:sz w:val="10"/>
                <w:szCs w:val="10"/>
                <w:color w:val="008000"/>
              </w:rPr>
              <w:t>(4)(5)(6)</w:t>
            </w: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and Ji Xiang</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contract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right"/>
              <w:ind w:right="138"/>
              <w:spacing w:after="0"/>
              <w:rPr>
                <w:sz w:val="20"/>
                <w:szCs w:val="20"/>
                <w:color w:val="auto"/>
              </w:rPr>
            </w:pPr>
            <w:r>
              <w:rPr>
                <w:rFonts w:ascii="Times New Roman" w:cs="Times New Roman" w:eastAsia="Times New Roman" w:hAnsi="Times New Roman"/>
                <w:sz w:val="12"/>
                <w:szCs w:val="12"/>
                <w:color w:val="0000FF"/>
              </w:rPr>
              <w:t>06/02/2026</w:t>
            </w: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43,050</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2"/>
                <w:szCs w:val="12"/>
                <w:color w:val="0000FF"/>
              </w:rPr>
              <w:t>06/04/2029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06/04/2029</w:t>
            </w: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43,050</w:t>
            </w:r>
          </w:p>
        </w:tc>
        <w:tc>
          <w:tcPr>
            <w:tcW w:w="620" w:type="dxa"/>
            <w:vAlign w:val="bottom"/>
            <w:vMerge w:val="restart"/>
          </w:tcPr>
          <w:p>
            <w:pPr>
              <w:jc w:val="center"/>
              <w:ind w:left="282"/>
              <w:spacing w:after="0"/>
              <w:rPr>
                <w:sz w:val="20"/>
                <w:szCs w:val="20"/>
                <w:color w:val="auto"/>
              </w:rPr>
            </w:pPr>
            <w:r>
              <w:rPr>
                <w:rFonts w:ascii="Times New Roman" w:cs="Times New Roman" w:eastAsia="Times New Roman" w:hAnsi="Times New Roman"/>
                <w:sz w:val="12"/>
                <w:szCs w:val="12"/>
                <w:color w:val="0000FF"/>
                <w:w w:val="98"/>
              </w:rPr>
              <w:t>I</w:t>
            </w:r>
          </w:p>
        </w:tc>
        <w:tc>
          <w:tcPr>
            <w:tcW w:w="26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color w:val="0000FF"/>
              </w:rPr>
              <w:t>par value</w:t>
            </w: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Borders>
              <w:right w:val="single" w:sz="8" w:color="2C2C2C"/>
            </w:tcBorders>
            <w:gridSpan w:val="3"/>
          </w:tcPr>
          <w:p>
            <w:pPr>
              <w:ind w:left="20"/>
              <w:spacing w:after="0" w:line="88" w:lineRule="exact"/>
              <w:rPr>
                <w:sz w:val="20"/>
                <w:szCs w:val="20"/>
                <w:color w:val="auto"/>
              </w:rPr>
            </w:pPr>
            <w:r>
              <w:rPr>
                <w:rFonts w:ascii="Times New Roman" w:cs="Times New Roman" w:eastAsia="Times New Roman" w:hAnsi="Times New Roman"/>
                <w:sz w:val="10"/>
                <w:szCs w:val="10"/>
                <w:color w:val="0000FF"/>
              </w:rPr>
              <w:t>Hu Tong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gridSpan w:val="4"/>
          </w:tcPr>
          <w:p>
            <w:pPr>
              <w:ind w:left="60"/>
              <w:spacing w:after="0" w:line="122" w:lineRule="exact"/>
              <w:rPr>
                <w:sz w:val="20"/>
                <w:szCs w:val="20"/>
                <w:color w:val="auto"/>
              </w:rPr>
            </w:pPr>
            <w:r>
              <w:rPr>
                <w:rFonts w:ascii="Times New Roman" w:cs="Times New Roman" w:eastAsia="Times New Roman" w:hAnsi="Times New Roman"/>
                <w:sz w:val="12"/>
                <w:szCs w:val="12"/>
                <w:color w:val="0000FF"/>
              </w:rPr>
              <w:t>(obligation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$0.05</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Holdings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to sell)</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per share</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right w:val="single" w:sz="8" w:color="2C2C2C"/>
            </w:tcBorders>
            <w:gridSpan w:val="3"/>
            <w:vMerge w:val="restart"/>
          </w:tcPr>
          <w:p>
            <w:pPr>
              <w:ind w:left="20"/>
              <w:spacing w:after="0" w:line="222" w:lineRule="exact"/>
              <w:rPr>
                <w:sz w:val="20"/>
                <w:szCs w:val="20"/>
                <w:color w:val="auto"/>
              </w:rPr>
            </w:pPr>
            <w:r>
              <w:rPr>
                <w:rFonts w:ascii="Times New Roman" w:cs="Times New Roman" w:eastAsia="Times New Roman" w:hAnsi="Times New Roman"/>
                <w:sz w:val="24"/>
                <w:szCs w:val="24"/>
                <w:color w:val="0000FF"/>
                <w:w w:val="91"/>
                <w:vertAlign w:val="subscript"/>
              </w:rPr>
              <w:t>Limited</w:t>
            </w:r>
            <w:r>
              <w:rPr>
                <w:rFonts w:ascii="Times New Roman" w:cs="Times New Roman" w:eastAsia="Times New Roman" w:hAnsi="Times New Roman"/>
                <w:sz w:val="10"/>
                <w:szCs w:val="10"/>
                <w:color w:val="008000"/>
                <w:w w:val="91"/>
              </w:rPr>
              <w:t>(1)(2)(3)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vMerge w:val="continue"/>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Shan Lao</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Ordinary</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Borders>
              <w:right w:val="single" w:sz="8" w:color="2C2C2C"/>
            </w:tcBorders>
            <w:gridSpan w:val="3"/>
          </w:tcPr>
          <w:p>
            <w:pPr>
              <w:ind w:left="20"/>
              <w:spacing w:after="0" w:line="136" w:lineRule="exact"/>
              <w:rPr>
                <w:sz w:val="20"/>
                <w:szCs w:val="20"/>
                <w:color w:val="auto"/>
              </w:rPr>
            </w:pPr>
            <w:r>
              <w:rPr>
                <w:rFonts w:ascii="Times New Roman" w:cs="Times New Roman" w:eastAsia="Times New Roman" w:hAnsi="Times New Roman"/>
                <w:sz w:val="12"/>
                <w:szCs w:val="12"/>
                <w:color w:val="0000FF"/>
              </w:rPr>
              <w:t>Hu Tong LLC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580" w:type="dxa"/>
            <w:vAlign w:val="bottom"/>
          </w:tcPr>
          <w:p>
            <w:pPr>
              <w:jc w:val="center"/>
              <w:ind w:left="46"/>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5"/>
                <w:szCs w:val="15"/>
                <w:color w:val="auto"/>
              </w:rPr>
            </w:pPr>
          </w:p>
        </w:tc>
        <w:tc>
          <w:tcPr>
            <w:tcW w:w="1000" w:type="dxa"/>
            <w:vAlign w:val="bottom"/>
            <w:vMerge w:val="restart"/>
          </w:tcPr>
          <w:p>
            <w:pPr>
              <w:jc w:val="right"/>
              <w:ind w:right="138"/>
              <w:spacing w:after="0"/>
              <w:rPr>
                <w:sz w:val="20"/>
                <w:szCs w:val="20"/>
                <w:color w:val="auto"/>
              </w:rPr>
            </w:pPr>
            <w:r>
              <w:rPr>
                <w:rFonts w:ascii="Times New Roman" w:cs="Times New Roman" w:eastAsia="Times New Roman" w:hAnsi="Times New Roman"/>
                <w:sz w:val="12"/>
                <w:szCs w:val="12"/>
                <w:color w:val="0000FF"/>
              </w:rPr>
              <w:t>06/02/2026</w:t>
            </w: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M</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0000FF"/>
              </w:rPr>
              <w:t>43,050</w:t>
            </w:r>
          </w:p>
        </w:tc>
        <w:tc>
          <w:tcPr>
            <w:tcW w:w="760" w:type="dxa"/>
            <w:vAlign w:val="bottom"/>
          </w:tcPr>
          <w:p>
            <w:pPr>
              <w:jc w:val="center"/>
              <w:ind w:left="24"/>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Shares,</w:t>
            </w:r>
          </w:p>
        </w:tc>
        <w:tc>
          <w:tcPr>
            <w:tcW w:w="6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43,050</w:t>
            </w:r>
          </w:p>
        </w:tc>
        <w:tc>
          <w:tcPr>
            <w:tcW w:w="740" w:type="dxa"/>
            <w:vAlign w:val="bottom"/>
            <w:gridSpan w:val="2"/>
          </w:tcPr>
          <w:p>
            <w:pPr>
              <w:jc w:val="right"/>
              <w:ind w:right="283"/>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7,108,682</w:t>
            </w:r>
          </w:p>
        </w:tc>
        <w:tc>
          <w:tcPr>
            <w:tcW w:w="620" w:type="dxa"/>
            <w:vAlign w:val="bottom"/>
            <w:vMerge w:val="restart"/>
          </w:tcPr>
          <w:p>
            <w:pPr>
              <w:jc w:val="center"/>
              <w:ind w:left="282"/>
              <w:spacing w:after="0"/>
              <w:rPr>
                <w:sz w:val="20"/>
                <w:szCs w:val="20"/>
                <w:color w:val="auto"/>
              </w:rPr>
            </w:pPr>
            <w:r>
              <w:rPr>
                <w:rFonts w:ascii="Times New Roman" w:cs="Times New Roman" w:eastAsia="Times New Roman" w:hAnsi="Times New Roman"/>
                <w:sz w:val="12"/>
                <w:szCs w:val="12"/>
                <w:color w:val="0000FF"/>
                <w:w w:val="98"/>
              </w:rPr>
              <w:t>I</w:t>
            </w:r>
          </w:p>
        </w:tc>
        <w:tc>
          <w:tcPr>
            <w:tcW w:w="260" w:type="dxa"/>
            <w:vAlign w:val="bottom"/>
          </w:tcPr>
          <w:p>
            <w:pPr>
              <w:spacing w:after="0"/>
              <w:rPr>
                <w:sz w:val="15"/>
                <w:szCs w:val="15"/>
                <w:color w:val="auto"/>
              </w:rPr>
            </w:pPr>
          </w:p>
        </w:tc>
        <w:tc>
          <w:tcPr>
            <w:tcW w:w="8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and Ji Xiang</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gridSpan w:val="4"/>
          </w:tcPr>
          <w:p>
            <w:pPr>
              <w:ind w:left="60"/>
              <w:spacing w:after="0" w:line="99" w:lineRule="exact"/>
              <w:rPr>
                <w:sz w:val="20"/>
                <w:szCs w:val="20"/>
                <w:color w:val="auto"/>
              </w:rPr>
            </w:pPr>
            <w:r>
              <w:rPr>
                <w:rFonts w:ascii="Times New Roman" w:cs="Times New Roman" w:eastAsia="Times New Roman" w:hAnsi="Times New Roman"/>
                <w:sz w:val="11"/>
                <w:szCs w:val="11"/>
                <w:color w:val="0000FF"/>
              </w:rPr>
              <w:t>par value</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color w:val="0000FF"/>
              </w:rPr>
              <w:t>par value</w:t>
            </w:r>
          </w:p>
        </w:tc>
        <w:tc>
          <w:tcPr>
            <w:tcW w:w="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right w:val="single" w:sz="8" w:color="2C2C2C"/>
            </w:tcBorders>
            <w:gridSpan w:val="3"/>
          </w:tcPr>
          <w:p>
            <w:pPr>
              <w:ind w:left="20"/>
              <w:spacing w:after="0" w:line="99" w:lineRule="exact"/>
              <w:rPr>
                <w:sz w:val="20"/>
                <w:szCs w:val="20"/>
                <w:color w:val="auto"/>
              </w:rPr>
            </w:pPr>
            <w:r>
              <w:rPr>
                <w:rFonts w:ascii="Times New Roman" w:cs="Times New Roman" w:eastAsia="Times New Roman" w:hAnsi="Times New Roman"/>
                <w:sz w:val="11"/>
                <w:szCs w:val="11"/>
                <w:color w:val="0000FF"/>
              </w:rPr>
              <w:t>Hu Tong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$0.05 per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$0.05</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Borders>
              <w:right w:val="single" w:sz="8" w:color="2C2C2C"/>
            </w:tcBorders>
            <w:gridSpan w:val="3"/>
          </w:tcPr>
          <w:p>
            <w:pPr>
              <w:ind w:left="20"/>
              <w:spacing w:after="0" w:line="136" w:lineRule="exact"/>
              <w:rPr>
                <w:sz w:val="20"/>
                <w:szCs w:val="20"/>
                <w:color w:val="auto"/>
              </w:rPr>
            </w:pPr>
            <w:r>
              <w:rPr>
                <w:rFonts w:ascii="Times New Roman" w:cs="Times New Roman" w:eastAsia="Times New Roman" w:hAnsi="Times New Roman"/>
                <w:sz w:val="12"/>
                <w:szCs w:val="12"/>
                <w:color w:val="0000FF"/>
              </w:rPr>
              <w:t>Holdings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per share</w:t>
            </w:r>
          </w:p>
        </w:tc>
        <w:tc>
          <w:tcPr>
            <w:tcW w:w="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right w:val="single" w:sz="8" w:color="2C2C2C"/>
            </w:tcBorders>
            <w:gridSpan w:val="3"/>
          </w:tcPr>
          <w:p>
            <w:pPr>
              <w:ind w:left="20"/>
              <w:spacing w:after="0" w:line="222" w:lineRule="exact"/>
              <w:rPr>
                <w:sz w:val="20"/>
                <w:szCs w:val="20"/>
                <w:color w:val="auto"/>
              </w:rPr>
            </w:pPr>
            <w:r>
              <w:rPr>
                <w:rFonts w:ascii="Times New Roman" w:cs="Times New Roman" w:eastAsia="Times New Roman" w:hAnsi="Times New Roman"/>
                <w:sz w:val="24"/>
                <w:szCs w:val="24"/>
                <w:color w:val="0000FF"/>
                <w:w w:val="91"/>
                <w:vertAlign w:val="subscript"/>
              </w:rPr>
              <w:t>Limited</w:t>
            </w:r>
            <w:r>
              <w:rPr>
                <w:rFonts w:ascii="Times New Roman" w:cs="Times New Roman" w:eastAsia="Times New Roman" w:hAnsi="Times New Roman"/>
                <w:sz w:val="10"/>
                <w:szCs w:val="10"/>
                <w:color w:val="008000"/>
                <w:w w:val="91"/>
              </w:rPr>
              <w:t>(1)(3)(8)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Ordinary</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Shares,</w:t>
            </w:r>
          </w:p>
        </w:tc>
        <w:tc>
          <w:tcPr>
            <w:tcW w:w="58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(7)</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Shares,</w:t>
            </w:r>
          </w:p>
        </w:tc>
        <w:tc>
          <w:tcPr>
            <w:tcW w:w="60" w:type="dxa"/>
            <w:vAlign w:val="bottom"/>
          </w:tcPr>
          <w:p>
            <w:pPr>
              <w:spacing w:after="0"/>
              <w:rPr>
                <w:sz w:val="11"/>
                <w:szCs w:val="11"/>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5,000</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rPr>
              <w:t>5,000</w:t>
            </w:r>
          </w:p>
        </w:tc>
        <w:tc>
          <w:tcPr>
            <w:tcW w:w="620" w:type="dxa"/>
            <w:vAlign w:val="bottom"/>
            <w:vMerge w:val="restart"/>
          </w:tcPr>
          <w:p>
            <w:pPr>
              <w:jc w:val="center"/>
              <w:ind w:left="282"/>
              <w:spacing w:after="0" w:line="260" w:lineRule="exact"/>
              <w:rPr>
                <w:sz w:val="20"/>
                <w:szCs w:val="20"/>
                <w:color w:val="auto"/>
              </w:rPr>
            </w:pPr>
            <w:r>
              <w:rPr>
                <w:rFonts w:ascii="Times New Roman" w:cs="Times New Roman" w:eastAsia="Times New Roman" w:hAnsi="Times New Roman"/>
                <w:sz w:val="24"/>
                <w:szCs w:val="24"/>
                <w:color w:val="0000FF"/>
                <w:w w:val="85"/>
                <w:vertAlign w:val="subscript"/>
              </w:rPr>
              <w:t>D</w:t>
            </w:r>
            <w:r>
              <w:rPr>
                <w:rFonts w:ascii="Times New Roman" w:cs="Times New Roman" w:eastAsia="Times New Roman" w:hAnsi="Times New Roman"/>
                <w:sz w:val="10"/>
                <w:szCs w:val="10"/>
                <w:color w:val="008000"/>
                <w:w w:val="85"/>
              </w:rPr>
              <w:t>(3)</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 value</w:t>
            </w: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par value</w:t>
            </w:r>
          </w:p>
        </w:tc>
        <w:tc>
          <w:tcPr>
            <w:tcW w:w="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$0.05 per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$0.05</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per share</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3180" w:type="dxa"/>
            <w:vAlign w:val="bottom"/>
            <w:tcBorders>
              <w:top w:val="single" w:sz="8" w:color="2C2C2C"/>
            </w:tcBorders>
            <w:gridSpan w:val="8"/>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ind w:left="20"/>
              <w:spacing w:after="0" w:line="211" w:lineRule="exact"/>
              <w:rPr>
                <w:rFonts w:ascii="Times New Roman" w:cs="Times New Roman" w:eastAsia="Times New Roman" w:hAnsi="Times New Roman"/>
                <w:sz w:val="20"/>
                <w:szCs w:val="20"/>
                <w:color w:val="0000EE"/>
                <w:w w:val="95"/>
              </w:rPr>
            </w:pPr>
            <w:hyperlink r:id="rId13">
              <w:r>
                <w:rPr>
                  <w:rFonts w:ascii="Times New Roman" w:cs="Times New Roman" w:eastAsia="Times New Roman" w:hAnsi="Times New Roman"/>
                  <w:sz w:val="20"/>
                  <w:szCs w:val="20"/>
                  <w:color w:val="0000EE"/>
                  <w:w w:val="95"/>
                </w:rPr>
                <w:t>Wu Lei</w:t>
              </w:r>
            </w:hyperlink>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color w:val="auto"/>
              </w:rPr>
              <w:t>(Last)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ind w:left="80"/>
              <w:spacing w:after="0"/>
              <w:rPr>
                <w:sz w:val="20"/>
                <w:szCs w:val="20"/>
                <w:color w:val="auto"/>
              </w:rPr>
            </w:pPr>
            <w:r>
              <w:rPr>
                <w:rFonts w:ascii="Arial" w:cs="Arial" w:eastAsia="Arial" w:hAnsi="Arial"/>
                <w:sz w:val="12"/>
                <w:szCs w:val="12"/>
                <w:color w:val="auto"/>
              </w:rPr>
              <w:t>(First)</w:t>
            </w:r>
          </w:p>
        </w:tc>
        <w:tc>
          <w:tcPr>
            <w:tcW w:w="1080" w:type="dxa"/>
            <w:vAlign w:val="bottom"/>
            <w:gridSpan w:val="2"/>
          </w:tcPr>
          <w:p>
            <w:pPr>
              <w:ind w:left="4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C/O GIGACLOUD TECHNOLOGY INC</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4388 SHIRLEY AVENUE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EL MONTE</w:t>
            </w:r>
          </w:p>
        </w:tc>
        <w:tc>
          <w:tcPr>
            <w:tcW w:w="1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91731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-4586605</wp:posOffset>
            </wp:positionV>
            <wp:extent cx="28575" cy="3264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3264535"/>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p>
      <w:pPr>
        <w:spacing w:after="0" w:line="286" w:lineRule="exact"/>
        <w:rPr>
          <w:sz w:val="24"/>
          <w:szCs w:val="24"/>
          <w:color w:val="auto"/>
        </w:rPr>
      </w:pPr>
    </w:p>
    <w:p>
      <w:pPr>
        <w:ind w:left="120"/>
        <w:spacing w:after="0"/>
        <w:tabs>
          <w:tab w:leader="none" w:pos="1480" w:val="left"/>
          <w:tab w:leader="none" w:pos="288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-130810</wp:posOffset>
            </wp:positionV>
            <wp:extent cx="2808605" cy="3298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8605" cy="3298825"/>
                    </a:xfrm>
                    <a:prstGeom prst="rect">
                      <a:avLst/>
                    </a:prstGeom>
                    <a:noFill/>
                  </pic:spPr>
                </pic:pic>
              </a:graphicData>
            </a:graphic>
          </wp:anchor>
        </w:drawing>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JI XIANG HU TONG HOLDINGS LTD</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660" w:type="dxa"/>
            <w:vAlign w:val="bottom"/>
            <w:gridSpan w:val="2"/>
          </w:tcPr>
          <w:p>
            <w:pPr>
              <w:ind w:left="28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GIGACLOUD TECHNOLOGY INC</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4388 SHIRLEY AVENUE</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2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EL MONTE</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FF"/>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91731</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660" w:type="dxa"/>
            <w:vAlign w:val="bottom"/>
            <w:gridSpan w:val="2"/>
          </w:tcPr>
          <w:p>
            <w:pPr>
              <w:ind w:left="28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780" w:type="dxa"/>
            <w:vAlign w:val="bottom"/>
            <w:gridSpan w:val="4"/>
          </w:tcPr>
          <w:p>
            <w:pPr>
              <w:ind w:left="20"/>
              <w:spacing w:after="0" w:line="211"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SHAN LAO HU TONG LLC</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660" w:type="dxa"/>
            <w:vAlign w:val="bottom"/>
            <w:gridSpan w:val="2"/>
          </w:tcPr>
          <w:p>
            <w:pPr>
              <w:ind w:left="28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GIGACLOUD TECHNOLOGY INC</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4388 SHIRELY AVENUE</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2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EL MONTE</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FF"/>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91731</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660" w:type="dxa"/>
            <w:vAlign w:val="bottom"/>
            <w:gridSpan w:val="2"/>
          </w:tcPr>
          <w:p>
            <w:pPr>
              <w:ind w:left="28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1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Lei Wu ("Mr. Wu") is the sole member and sole manager of a limited liability company, Shan Lao Hu Tong LLC, that is the sole shareholder of Ji Xiang Hu Tong Holdings Limited. As a result of these relationships, Mr. Wu may be deemed to be an indirect beneficial owner of the securities held by Ji Xiang Hu Tong Holdings Limited.</w:t>
      </w:r>
    </w:p>
    <w:p>
      <w:pPr>
        <w:spacing w:after="0" w:line="5"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Class A ordinary shares, par value of US$0.05 per share, of the Issuer ("Class A Ordinary Shares") directly held by Ji Xiang Hu Tong Holdings Limited.</w:t>
      </w:r>
    </w:p>
    <w:p>
      <w:pPr>
        <w:spacing w:after="0" w:line="47" w:lineRule="exact"/>
        <w:rPr>
          <w:rFonts w:ascii="Times New Roman" w:cs="Times New Roman" w:eastAsia="Times New Roman" w:hAnsi="Times New Roman"/>
          <w:sz w:val="12"/>
          <w:szCs w:val="12"/>
          <w:color w:val="008000"/>
        </w:rPr>
      </w:pPr>
    </w:p>
    <w:p>
      <w:pPr>
        <w:ind w:left="20" w:right="20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report shall not be deemed an admission that any of the reporting persons is the beneficial owner of such securities for purposes of Section 16 of Securities Exchange Act of 1934, as amended, or for any other purpose.</w:t>
      </w:r>
    </w:p>
    <w:p>
      <w:pPr>
        <w:spacing w:after="0" w:line="5" w:lineRule="exact"/>
        <w:rPr>
          <w:rFonts w:ascii="Times New Roman" w:cs="Times New Roman" w:eastAsia="Times New Roman" w:hAnsi="Times New Roman"/>
          <w:sz w:val="12"/>
          <w:szCs w:val="12"/>
          <w:color w:val="008000"/>
        </w:rPr>
      </w:pPr>
    </w:p>
    <w:p>
      <w:pPr>
        <w:ind w:left="20" w:hanging="4"/>
        <w:spacing w:after="0" w:line="25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2, 2026, the Reporting Person entered into a variable prepaid forward sale contract with an unaffiliated third party buyer. The contract obligates the Reporting Person to deliver to the buyer up to 43,050 shares of Class A Ordinary Shares (or, at the Reporting Person's election, an equivalent amount of cash based on the market price of Class A Ordinary Shares) on the maturity date of the contract, June 4, 2029 (the "Base Amount"). In exchange for assuming this obligation, the Reporting Person received a cash payment of $1,384,992 as of the date of entering into the contract.</w:t>
      </w:r>
    </w:p>
    <w:p>
      <w:pPr>
        <w:spacing w:after="0" w:line="16" w:lineRule="exact"/>
        <w:rPr>
          <w:rFonts w:ascii="Times New Roman" w:cs="Times New Roman" w:eastAsia="Times New Roman" w:hAnsi="Times New Roman"/>
          <w:sz w:val="12"/>
          <w:szCs w:val="12"/>
          <w:color w:val="008000"/>
        </w:rPr>
      </w:pPr>
    </w:p>
    <w:p>
      <w:pPr>
        <w:ind w:left="20" w:hanging="4"/>
        <w:spacing w:after="0" w:line="249"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The Reporting Person pledged 43,050 shares of Class A Ordinary Shares (the "Pledged Shares") to secure his obligations under the contract, and retained dividend and voting rights in the Pledged Shares during the term of the pledge. The number of shares of Class A Ordinary Shares to be delivered by the Reporting Person to the buyer on the maturity date is to be determined as follows: (a) if the volume-weighted average closing price of the Class A Ordinary Shares on the maturity date (the "Settlement Price") is less than $55.34 (the "Cap Price") but greater than $36.57 (the "Floor Price"), the Reporting Person will deliver to the buyer a number of shares of Class A Ordinary Shares equal to the Base Amount multiplied by a ratio equal to the Floor Price divided by the Settlement Price;</w:t>
      </w:r>
    </w:p>
    <w:p>
      <w:pPr>
        <w:spacing w:after="0" w:line="21" w:lineRule="exact"/>
        <w:rPr>
          <w:rFonts w:ascii="Times New Roman" w:cs="Times New Roman" w:eastAsia="Times New Roman" w:hAnsi="Times New Roman"/>
          <w:sz w:val="12"/>
          <w:szCs w:val="12"/>
          <w:color w:val="008000"/>
        </w:rPr>
      </w:pPr>
    </w:p>
    <w:p>
      <w:pPr>
        <w:ind w:left="20" w:hanging="4"/>
        <w:spacing w:after="0" w:line="25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(b) if the Settlement Price is equal or greater than the Cap Price on the maturity date, the Reporting Person will deliver to the buyer a number of shares of Class A Ordinary Shares equal to the Base Amount multiplied by a ratio equal to a fraction with a numerator equal to the sum of (A) the Floor Price and (B) the excess, if any, of the Settlement Price over the Cap Price, and a denominator equal to the Settlement Price; and (c) if the Settlement Price is equal to or less than the Floor Price on the maturity date, the Reporting Person will deliver to the buyer a number of shares of Class A Ordinary Shares equal to the Base Amount.</w:t>
      </w:r>
    </w:p>
    <w:p>
      <w:pPr>
        <w:spacing w:after="0" w:line="161"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Ordinary Shares are convertible at any time at the option of the holder into an equal number of Class A Ordinary Shares at no cost.</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Class B ordinary shares, par value of US$0.05 per share, of the Issuer ("Class B Ordinary Shares") directly held by Ji Xiang Hu Tong Holdings Limited.</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880"/>
          </w:cols>
          <w:pgMar w:left="480" w:top="117" w:right="539" w:bottom="1440" w:gutter="0" w:footer="0" w:header="0"/>
        </w:sectPr>
      </w:pPr>
    </w:p>
    <w:p>
      <w:pPr>
        <w:spacing w:after="0" w:line="12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Lei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-5715</wp:posOffset>
            </wp:positionV>
            <wp:extent cx="4273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27355" cy="7620"/>
                    </a:xfrm>
                    <a:prstGeom prst="rect">
                      <a:avLst/>
                    </a:prstGeom>
                    <a:noFill/>
                  </pic:spPr>
                </pic:pic>
              </a:graphicData>
            </a:graphic>
          </wp:anchor>
        </w:drawing>
      </w:r>
    </w:p>
    <w:p>
      <w:pPr>
        <w:spacing w:after="0" w:line="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Lei Wu, for Ji Xiang Hu Tong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3512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51280"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Holdings Limited, By: Lei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2788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4400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440055"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Lei Wu, for Shan Lao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-5715</wp:posOffset>
            </wp:positionV>
            <wp:extent cx="11626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6268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Tong LLC, By: Lei Wu,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12947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947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-13335</wp:posOffset>
            </wp:positionV>
            <wp:extent cx="3346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346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8700" w:space="80"/>
            <w:col w:w="2100"/>
          </w:cols>
          <w:pgMar w:left="480" w:top="117" w:right="53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20" w:hanging="4"/>
        <w:spacing w:after="0" w:line="323"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1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3" Type="http://schemas.openxmlformats.org/officeDocument/2006/relationships/hyperlink" Target="http://www.sec.gov/cgi-bin/browse-edgar?action=getcompany&amp;CIK=0001962329" TargetMode="External"/><Relationship Id="rId14" Type="http://schemas.openxmlformats.org/officeDocument/2006/relationships/hyperlink" Target="http://www.sec.gov/cgi-bin/browse-edgar?action=getcompany&amp;CIK=0001857816" TargetMode="External"/><Relationship Id="rId18" Type="http://schemas.openxmlformats.org/officeDocument/2006/relationships/hyperlink" Target="http://www.sec.gov/cgi-bin/browse-edgar?action=getcompany&amp;CIK=0002004302" TargetMode="External"/><Relationship Id="rId19" Type="http://schemas.openxmlformats.org/officeDocument/2006/relationships/hyperlink" Target="http://www.sec.gov/cgi-bin/browse-edgar?action=getcompany&amp;CIK=000200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2026-06-04T20:49:25Z</dcterms:created>
  <dcterms:modified xsi:type="dcterms:W3CDTF">2026-06-04T20:49:25Z</dcterms:modified>
</cp:coreProperties>
</file>