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7,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GigaCloud Technology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001-41454</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00-0000000</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4388 Shirley Ave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Monte, CA 91731</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(626) 912-8886</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20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9"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60" w:type="dxa"/>
            <w:vAlign w:val="bottom"/>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92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$0.05 per</w:t>
            </w:r>
          </w:p>
        </w:tc>
        <w:tc>
          <w:tcPr>
            <w:tcW w:w="480" w:type="dxa"/>
            <w:vAlign w:val="bottom"/>
          </w:tcPr>
          <w:p>
            <w:pPr>
              <w:spacing w:after="0"/>
              <w:rPr>
                <w:sz w:val="23"/>
                <w:szCs w:val="23"/>
                <w:color w:val="auto"/>
              </w:rPr>
            </w:pPr>
          </w:p>
        </w:tc>
        <w:tc>
          <w:tcPr>
            <w:tcW w:w="19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GCT</w:t>
            </w:r>
          </w:p>
        </w:tc>
        <w:tc>
          <w:tcPr>
            <w:tcW w:w="720" w:type="dxa"/>
            <w:vAlign w:val="bottom"/>
          </w:tcPr>
          <w:p>
            <w:pPr>
              <w:spacing w:after="0"/>
              <w:rPr>
                <w:sz w:val="23"/>
                <w:szCs w:val="23"/>
                <w:color w:val="auto"/>
              </w:rPr>
            </w:pP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20"/>
        <w:spacing w:after="0" w:line="207" w:lineRule="exact"/>
        <w:tabs>
          <w:tab w:leader="none" w:pos="26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7, 2026, GigaCloud Technology Inc (the “Company” or “GigaCloud”) issued a press release announcing its financial results for the quarter ended March 31, 2026. A copy of the press release is furnished as Exhibit 99.1 to this Current Report on Form 8-K.</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herewith:</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63"/>
        </w:trPr>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2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GigaCloud</w:t>
            </w:r>
          </w:p>
        </w:tc>
        <w:tc>
          <w:tcPr>
            <w:tcW w:w="1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300" w:type="dxa"/>
            <w:vAlign w:val="bottom"/>
          </w:tcPr>
          <w:p>
            <w:pPr>
              <w:spacing w:after="0"/>
              <w:rPr>
                <w:sz w:val="22"/>
                <w:szCs w:val="22"/>
                <w:color w:val="auto"/>
              </w:rPr>
            </w:pPr>
          </w:p>
        </w:tc>
      </w:tr>
      <w:tr>
        <w:trPr>
          <w:trHeight w:val="304"/>
        </w:trPr>
        <w:tc>
          <w:tcPr>
            <w:tcW w:w="9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16"/>
        </w:trPr>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7th day of May 2026.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GigaCloud Technology Inc</w:t>
      </w:r>
    </w:p>
    <w:p>
      <w:pPr>
        <w:spacing w:after="0" w:line="347"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Larry Lei Wu</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Larry Lei Wu</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740" w:type="dxa"/>
            <w:vAlign w:val="bottom"/>
            <w:vMerge w:val="continue"/>
          </w:tcPr>
          <w:p>
            <w:pPr>
              <w:spacing w:after="0"/>
              <w:rPr>
                <w:sz w:val="20"/>
                <w:szCs w:val="20"/>
                <w:color w:val="auto"/>
              </w:rPr>
            </w:pP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of Directors and</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40"/>
        </w:trPr>
        <w:tc>
          <w:tcPr>
            <w:tcW w:w="74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GigaCloud Technology Inc Announces First Quarter Ended March 31, 2026 Financial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Posts another Quarter of Substantial Revenue Growth —</w:t>
      </w:r>
    </w:p>
    <w:p>
      <w:pPr>
        <w:spacing w:after="0" w:line="2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EL MONTE, Calif., May 7, 2026 — GigaCloud Technology Inc (Nasdaq: GCT) (“GigaCloud” or the “Company”), a pioneer of global end-to-end B2B technology solutions for large parcel merchandise, today announced financial results for the first quarter ended March 31, 2026, highlighted by substantial revenue growth over the comparable prior 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25" w:lineRule="exact"/>
        <w:rPr>
          <w:sz w:val="20"/>
          <w:szCs w:val="20"/>
          <w:color w:val="auto"/>
        </w:rPr>
      </w:pPr>
    </w:p>
    <w:p>
      <w:pPr>
        <w:ind w:left="980" w:hanging="405"/>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of $359.5 million, increased 32.2% year-over-year.</w:t>
      </w:r>
    </w:p>
    <w:p>
      <w:pPr>
        <w:spacing w:after="0" w:line="225"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of $85.8 million, increased 34.7% year-over-year.</w:t>
      </w:r>
    </w:p>
    <w:p>
      <w:pPr>
        <w:spacing w:after="0" w:line="3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was </w:t>
      </w:r>
      <w:r>
        <w:rPr>
          <w:rFonts w:ascii="Times New Roman" w:cs="Times New Roman" w:eastAsia="Times New Roman" w:hAnsi="Times New Roman"/>
          <w:sz w:val="18"/>
          <w:szCs w:val="18"/>
          <w:color w:val="auto"/>
        </w:rPr>
        <w:t>23.9%, compared to 23.4% in the first quarter of 2025.</w:t>
      </w:r>
    </w:p>
    <w:p>
      <w:pPr>
        <w:spacing w:after="0" w:line="202" w:lineRule="exact"/>
        <w:rPr>
          <w:rFonts w:ascii="Times New Roman" w:cs="Times New Roman" w:eastAsia="Times New Roman" w:hAnsi="Times New Roman"/>
          <w:sz w:val="18"/>
          <w:szCs w:val="18"/>
          <w:color w:val="auto"/>
        </w:rPr>
      </w:pPr>
    </w:p>
    <w:p>
      <w:pPr>
        <w:ind w:left="980" w:right="3780" w:hanging="405"/>
        <w:spacing w:after="0" w:line="263"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of $38.1 million, compared to $27.1 million reported in the prior-year period.</w:t>
      </w:r>
      <w:r>
        <w:rPr>
          <w:rFonts w:ascii="Times New Roman" w:cs="Times New Roman" w:eastAsia="Times New Roman" w:hAnsi="Times New Roman"/>
          <w:sz w:val="18"/>
          <w:szCs w:val="18"/>
          <w:b w:val="1"/>
          <w:bCs w:val="1"/>
          <w:color w:val="auto"/>
        </w:rPr>
        <w:t xml:space="preserve"> Net income margin </w:t>
      </w:r>
      <w:r>
        <w:rPr>
          <w:rFonts w:ascii="Times New Roman" w:cs="Times New Roman" w:eastAsia="Times New Roman" w:hAnsi="Times New Roman"/>
          <w:sz w:val="18"/>
          <w:szCs w:val="18"/>
          <w:color w:val="auto"/>
        </w:rPr>
        <w:t>was 10.6%, compared to 10.0% in the first quarter of 2025.</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Diluted EPS </w:t>
      </w:r>
      <w:r>
        <w:rPr>
          <w:rFonts w:ascii="Times New Roman" w:cs="Times New Roman" w:eastAsia="Times New Roman" w:hAnsi="Times New Roman"/>
          <w:sz w:val="18"/>
          <w:szCs w:val="18"/>
          <w:color w:val="auto"/>
        </w:rPr>
        <w:t>increased 52.9% year-over-year to $1.04.</w:t>
      </w:r>
    </w:p>
    <w:p>
      <w:pPr>
        <w:spacing w:after="0" w:line="202" w:lineRule="exact"/>
        <w:rPr>
          <w:rFonts w:ascii="Times New Roman" w:cs="Times New Roman" w:eastAsia="Times New Roman" w:hAnsi="Times New Roman"/>
          <w:sz w:val="18"/>
          <w:szCs w:val="18"/>
          <w:color w:val="auto"/>
        </w:rPr>
      </w:pPr>
    </w:p>
    <w:p>
      <w:pPr>
        <w:ind w:left="980" w:right="5160" w:hanging="405"/>
        <w:spacing w:after="0" w:line="269" w:lineRule="auto"/>
        <w:tabs>
          <w:tab w:leader="none" w:pos="97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$45.6 million, increased 37.3% year-over-year.</w:t>
      </w:r>
      <w:r>
        <w:rPr>
          <w:rFonts w:ascii="Times New Roman" w:cs="Times New Roman" w:eastAsia="Times New Roman" w:hAnsi="Times New Roman"/>
          <w:sz w:val="17"/>
          <w:szCs w:val="17"/>
          <w:b w:val="1"/>
          <w:bCs w:val="1"/>
          <w:color w:val="auto"/>
        </w:rPr>
        <w:t xml:space="preserve"> Adjusted EPS – diluted</w:t>
      </w:r>
      <w:r>
        <w:rPr>
          <w:rFonts w:ascii="Times New Roman" w:cs="Times New Roman" w:eastAsia="Times New Roman" w:hAnsi="Times New Roman"/>
          <w:sz w:val="22"/>
          <w:szCs w:val="22"/>
          <w:b w:val="1"/>
          <w:bCs w:val="1"/>
          <w:color w:val="auto"/>
          <w:vertAlign w:val="superscript"/>
        </w:rPr>
        <w:t>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$1.24, increased 49.4% year-over-year.</w:t>
      </w:r>
    </w:p>
    <w:p>
      <w:pPr>
        <w:spacing w:after="0" w:line="80" w:lineRule="exact"/>
        <w:rPr>
          <w:rFonts w:ascii="Times New Roman" w:cs="Times New Roman" w:eastAsia="Times New Roman" w:hAnsi="Times New Roman"/>
          <w:sz w:val="17"/>
          <w:szCs w:val="17"/>
          <w:color w:val="auto"/>
        </w:rPr>
      </w:pPr>
    </w:p>
    <w:p>
      <w:pPr>
        <w:ind w:left="980" w:right="700" w:hanging="405"/>
        <w:spacing w:after="0" w:line="286"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Restricted cash,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Investments </w:t>
      </w:r>
      <w:r>
        <w:rPr>
          <w:rFonts w:ascii="Times New Roman" w:cs="Times New Roman" w:eastAsia="Times New Roman" w:hAnsi="Times New Roman"/>
          <w:sz w:val="18"/>
          <w:szCs w:val="18"/>
          <w:color w:val="auto"/>
        </w:rPr>
        <w:t>totaled $364.0 million as of March 31, 2026, a 12.7% decrease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25" w:lineRule="exact"/>
        <w:rPr>
          <w:sz w:val="20"/>
          <w:szCs w:val="20"/>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GigaCloud Marketplace GMV</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17.5% year-over-year to $1,664.6 million for the 12 months ended March 31, 2026.</w:t>
      </w:r>
    </w:p>
    <w:p>
      <w:pPr>
        <w:spacing w:after="0" w:line="167" w:lineRule="exact"/>
        <w:rPr>
          <w:rFonts w:ascii="Times New Roman" w:cs="Times New Roman" w:eastAsia="Times New Roman" w:hAnsi="Times New Roman"/>
          <w:sz w:val="18"/>
          <w:szCs w:val="18"/>
          <w:color w:val="auto"/>
        </w:rPr>
      </w:pPr>
    </w:p>
    <w:p>
      <w:pPr>
        <w:jc w:val="both"/>
        <w:ind w:left="980" w:right="240" w:hanging="405"/>
        <w:spacing w:after="0" w:line="247" w:lineRule="auto"/>
        <w:tabs>
          <w:tab w:leader="none" w:pos="975"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3P seller GigaCloud Marketplace GMV</w:t>
      </w:r>
      <w:r>
        <w:rPr>
          <w:rFonts w:ascii="Times New Roman" w:cs="Times New Roman" w:eastAsia="Times New Roman" w:hAnsi="Times New Roman"/>
          <w:sz w:val="22"/>
          <w:szCs w:val="22"/>
          <w:b w:val="1"/>
          <w:bCs w:val="1"/>
          <w:color w:val="auto"/>
          <w:vertAlign w:val="superscript"/>
        </w:rPr>
        <w:t>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increased 23.7% year-over-year to $908.6 million for the 12 months ended March 31, 2026.</w:t>
      </w:r>
      <w:r>
        <w:rPr>
          <w:rFonts w:ascii="Times New Roman" w:cs="Times New Roman" w:eastAsia="Times New Roman" w:hAnsi="Times New Roman"/>
          <w:sz w:val="17"/>
          <w:szCs w:val="17"/>
          <w:b w:val="1"/>
          <w:bCs w:val="1"/>
          <w:color w:val="auto"/>
        </w:rPr>
        <w:t xml:space="preserve"> 3P seller GigaCloud Marketplace GMV </w:t>
      </w:r>
      <w:r>
        <w:rPr>
          <w:rFonts w:ascii="Times New Roman" w:cs="Times New Roman" w:eastAsia="Times New Roman" w:hAnsi="Times New Roman"/>
          <w:sz w:val="17"/>
          <w:szCs w:val="17"/>
          <w:color w:val="auto"/>
        </w:rPr>
        <w:t>represented 54.6% of total GigaCloud Marketplace GMV for the 12 months ended March 31, 2026.</w:t>
      </w:r>
    </w:p>
    <w:p>
      <w:pPr>
        <w:spacing w:after="0" w:line="186" w:lineRule="exact"/>
        <w:rPr>
          <w:rFonts w:ascii="Times New Roman" w:cs="Times New Roman" w:eastAsia="Times New Roman" w:hAnsi="Times New Roman"/>
          <w:sz w:val="17"/>
          <w:szCs w:val="17"/>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Active 3P sellers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19.3% year-over-year to 1,377 for the 12 months ended March 31, 2026.</w:t>
      </w:r>
    </w:p>
    <w:p>
      <w:pPr>
        <w:spacing w:after="0" w:line="16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Active buyers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25.2% year-over-year to 12,473 for the 12 months ended March 31, 2026.</w:t>
      </w: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ind w:left="500" w:right="480" w:hanging="486"/>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Adjusted EBITDA is a non-GAAP financial measure. For more information on the non-GAAP financial measure, please see the section of “Non-GAAP Financial Measure” and the table captioned “Unaudited Reconciliation of Adjusted EBITDA”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0" w:lineRule="exact"/>
        <w:rPr>
          <w:sz w:val="20"/>
          <w:szCs w:val="20"/>
          <w:color w:val="auto"/>
        </w:rPr>
      </w:pPr>
    </w:p>
    <w:p>
      <w:pPr>
        <w:ind w:left="500" w:right="160" w:hanging="492"/>
        <w:spacing w:after="0" w:line="242" w:lineRule="auto"/>
        <w:tabs>
          <w:tab w:leader="none" w:pos="287"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Adjusted EPS – diluted is a non-GAAP financial measure. For more information on the non-GAAP financial measure, please see the section of “Non-GAAP Financial Measure” and the table captioned “Unaudited Reconciliation of Adjusted EPS – diluted” set forth at the end of this press release.</w:t>
      </w:r>
    </w:p>
    <w:p>
      <w:pPr>
        <w:spacing w:after="0" w:line="196" w:lineRule="exact"/>
        <w:rPr>
          <w:sz w:val="20"/>
          <w:szCs w:val="20"/>
          <w:color w:val="auto"/>
        </w:rPr>
      </w:pPr>
    </w:p>
    <w:p>
      <w:pPr>
        <w:ind w:left="500" w:right="200" w:hanging="492"/>
        <w:spacing w:after="0" w:line="235" w:lineRule="auto"/>
        <w:tabs>
          <w:tab w:leader="none" w:pos="252"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GigaCloud Marketplace GMV means the total gross merchandise value of transactions ordered through our GigaCloud Marketplace including GigaCloud 3P and GigaCloud 1P, before any deductions of value added tax, goods and services tax, shipping charges paid by buyers to sellers and any refunds.</w:t>
      </w:r>
    </w:p>
    <w:p>
      <w:pPr>
        <w:spacing w:after="0" w:line="200" w:lineRule="exact"/>
        <w:rPr>
          <w:sz w:val="20"/>
          <w:szCs w:val="20"/>
          <w:color w:val="auto"/>
        </w:rPr>
      </w:pPr>
    </w:p>
    <w:p>
      <w:pPr>
        <w:ind w:left="500" w:right="20" w:hanging="492"/>
        <w:spacing w:after="0" w:line="229" w:lineRule="auto"/>
        <w:tabs>
          <w:tab w:leader="none" w:pos="297"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3P seller GigaCloud Marketplace GMV means the total gross merchandise value of transactions sold through our GigaCloud Marketplace by 3P sellers, before any deductions of value added tax, goods and services tax, shipping charges paid by buyers to sellers and any refunds.</w:t>
      </w:r>
    </w:p>
    <w:p>
      <w:pPr>
        <w:spacing w:after="0" w:line="198" w:lineRule="exact"/>
        <w:rPr>
          <w:sz w:val="20"/>
          <w:szCs w:val="20"/>
          <w:color w:val="auto"/>
        </w:rPr>
      </w:pPr>
    </w:p>
    <w:p>
      <w:pPr>
        <w:ind w:left="500" w:right="400" w:hanging="492"/>
        <w:spacing w:after="0" w:line="229" w:lineRule="auto"/>
        <w:tabs>
          <w:tab w:leader="none" w:pos="24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Active 3P sellers means sellers who have sold a product in GigaCloud Marketplace within the last 12-month period, irrespective of cancellations or returns.</w:t>
      </w:r>
    </w:p>
    <w:p>
      <w:pPr>
        <w:spacing w:after="0" w:line="198" w:lineRule="exact"/>
        <w:rPr>
          <w:sz w:val="20"/>
          <w:szCs w:val="20"/>
          <w:color w:val="auto"/>
        </w:rPr>
      </w:pPr>
    </w:p>
    <w:p>
      <w:pPr>
        <w:ind w:left="500" w:right="80" w:hanging="492"/>
        <w:spacing w:after="0" w:line="229" w:lineRule="auto"/>
        <w:tabs>
          <w:tab w:leader="none" w:pos="242"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Active buyers means buyers who have purchased a product in the GigaCloud Marketplace within the last 12-month period, irrespective of cancellations or returns.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43" w:right="339" w:bottom="1440" w:gutter="0" w:footer="0" w:header="0"/>
          <w:type w:val="continuous"/>
        </w:sectPr>
      </w:pPr>
    </w:p>
    <w:bookmarkStart w:id="4" w:name="page5"/>
    <w:bookmarkEnd w:id="4"/>
    <w:p>
      <w:pPr>
        <w:ind w:left="980" w:hanging="405"/>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Spend per active buyer</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$133,457 for the 12 months ended March 31, 2026.</w:t>
      </w:r>
    </w:p>
    <w:p>
      <w:pPr>
        <w:spacing w:after="0" w:line="17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“At GigaCloud, taking a long-term view and investing in the future is our core philosophy. We are committed to building a global digital supply chain for big and bulky items – a vision that guides our every strategic move,” said Larry Wu, Founder and Chief Executive Officer. “The value of this approach becomes clear during downturns like the one we are navigating today. Our early investments in Europe and the strategic acquisition of Noble House are delivering solid results despite U.S. market challenges. Likewise, our decisive share repurchases have turned policy-driven volatility into an opportunity to enhance shareholder value. We will continue to defend this principle – driving innovation and investing for the long-term to strengthen our industry-leading position.”</w:t>
      </w:r>
    </w:p>
    <w:p>
      <w:pPr>
        <w:spacing w:after="0" w:line="18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“Our sustained profitability in an uncertain environment underscores our continued focus on operational discipline and the resilience of our model,” said Erica Wei, Chief Financial Officer. “We remain committed to a balanced capital allocation approach, investing in the business while returning capital to shareholders. As of date, our cumulative share buybacks across all programs totalled approximately 5.6 million shares for $113.5 million, with approximately $68.3 million remaining under our buyback program announced in August 2025. We will continue to execute against our capital priorities.”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expects its total revenues to be between $365 million and $390 million in the second quarter of 2026. This forecast reflects the Company’s current and preliminary views on the market and operational conditions, which are subject to change and cannot be predicted with reasonable accuracy as of the date hereof.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13, 2025, the Company’s Board of Directors approved a $111.0 million share repurchase program. The program became effective on August 17, 2025 and will remain in effect for a period of three years. During the first quarter of 2026, we repurchased 304,321 of our Class A ordinary shares at a total consideration of approximately $12.3 million. Subsequent to the first quarter of 2026, the Company has repurchased an aggregate of 200,628 Class A ordinary shares in the open market at a total consideration of approximately $9.0 million pursuant to a repurchase plan under Rule 10b5-1 of the Exchange Act.</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share repurchase program, the Company may purchase its ordinary shares through various means, including open market transactions, privately negotiated transactions, block trades, any combination thereof or other legally permissible means. The Company may effect repurchase transactions in compliance with Rule 10b5-1 and Rule 10b-18 of the Securities Exchange Act of 1934, as amended. The number of shares repurchased and the timing of repurchases will depend on a number of factors, including, but not limited to, price, trading volume and general market conditions, along with the Company’s working capital requirements, general business conditions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will host a conference call to discuss its financial results at 8:00 am U.S. Eastern Time on May 7, 2026. Participants can access the conference call at https://registrations.events/direct/CHO616387 by entering their details to receive a call that will connect them to the conference. All participants are encouraged to dial in 15 minutes prior to the start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be accessible on the Company’s investor relations website at: https://investors.gigacloudtech.com/.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GigaCloud Technology Inc</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GigaCloud Technology Inc is a pioneer of global end-to-end B2B technology solutions for large parcel merchandise. The Company’s B2B ecommerce platform, which it refers to as the “GigaCloud Marketplace,” integrates everything from discovery and payments to logistics tools into one easy-to-use platform. The Company’s global marketplace seamlessly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14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85" w:lineRule="exact"/>
        <w:rPr>
          <w:sz w:val="20"/>
          <w:szCs w:val="20"/>
          <w:color w:val="auto"/>
        </w:rPr>
      </w:pPr>
    </w:p>
    <w:p>
      <w:pPr>
        <w:ind w:left="500" w:right="40" w:hanging="492"/>
        <w:spacing w:after="0" w:line="229" w:lineRule="auto"/>
        <w:tabs>
          <w:tab w:leader="none" w:pos="25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Spend per active buyer is calculated by dividing the total GigaCloud Marketplace GMV within the last 12-month period by the number of active buyers as of such date.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359" w:right="35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t>connects manufacturers, primarily in Asia, with resellers, primarily in the U.S., Asia and Europe, to execute cross-border transactions with confidence, speed and efficiency. The Company offers a truly comprehensive solution that transports products from the manufacturer’s warehouse to the end customer’s doorstep, all at one fixed price. The Company first launched its marketplace in January 2019 by focusing on the global furniture market and has since expanded into additional categories such as home appliances and fitness equipment. For more information, please visit the Company’s website: https://investors.gigacloudtech.com/.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uses certain non-GAAP financial measures, including Adjusted EBITDA and Adjusted EPS – diluted, to understand and evaluate its core operating performance. Adjusted EBITDA is net income excluding interest, income taxes and depreciation, further adjusted to exclude share-based compensation expense. Adjusted EPS – diluted is a financial measure defined as our Adjusted EBITDA divided by our diluted weighted-average shares outstanding. Management uses Adjusted EBITDA and Adjusted EPS – diluted as measures of operating performance, for planning purposes, to allocate resources to enhance the financial performance of our business, to evaluate the effectiveness of our business strategies and in communications with our Board of Directors and investors concerning our financial performance. Non-GAAP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U.S. GAAP.</w:t>
      </w:r>
    </w:p>
    <w:p>
      <w:pPr>
        <w:spacing w:after="0" w:line="19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tables captioned “Unaudited Reconciliation of Adjusted EBITDA” and “Unaudited Reconciliation of Adjusted EPS – diluted” set forth at the end of this press release.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reflect our current view about future events.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“may,” “will,” “could,” “expect,” “anticipate,” “aim,” “estimate,” “intend,” “plan,” “believe,” “is/are likely to,” “propose,” “potential,” “continue” or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GigaCloud Technology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ir@gigacloudtech.com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PondelWilkinson,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Laurie Berman (Investors) – lberman@pondel.com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Medici (Media) – gmedici@pondel.com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6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GigaCloud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379,780</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36,316</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65,973</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188,298</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0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19,535</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0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708,935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690,662</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431,455</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32,281</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0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0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521,283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511,797</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1,230,218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1,202,459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04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GigaCloud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180" w:type="dxa"/>
            <w:vAlign w:val="bottom"/>
            <w:tcBorders>
              <w:top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Borders>
              <w:top w:val="single" w:sz="8" w:color="auto"/>
            </w:tcBorders>
            <w:shd w:val="clear" w:color="auto" w:fill="CCECFF"/>
          </w:tcPr>
          <w:p>
            <w:pPr>
              <w:spacing w:after="0"/>
              <w:rPr>
                <w:sz w:val="18"/>
                <w:szCs w:val="18"/>
                <w:color w:val="auto"/>
              </w:rPr>
            </w:pPr>
          </w:p>
        </w:tc>
        <w:tc>
          <w:tcPr>
            <w:tcW w:w="1360" w:type="dxa"/>
            <w:vAlign w:val="bottom"/>
            <w:tcBorders>
              <w:top w:val="single" w:sz="8" w:color="auto"/>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spacing w:after="0"/>
              <w:rPr>
                <w:sz w:val="18"/>
                <w:szCs w:val="18"/>
                <w:color w:val="auto"/>
              </w:rPr>
            </w:pPr>
          </w:p>
        </w:tc>
        <w:tc>
          <w:tcPr>
            <w:tcW w:w="1320" w:type="dxa"/>
            <w:vAlign w:val="bottom"/>
            <w:tcBorders>
              <w:top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98,780</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105,407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0" w:type="dxa"/>
            <w:vAlign w:val="bottom"/>
          </w:tcPr>
          <w:p>
            <w:pPr>
              <w:spacing w:after="0"/>
              <w:rPr>
                <w:sz w:val="1"/>
                <w:szCs w:val="1"/>
                <w:color w:val="auto"/>
              </w:rPr>
            </w:pPr>
          </w:p>
        </w:tc>
      </w:tr>
      <w:tr>
        <w:trPr>
          <w:trHeight w:val="229"/>
        </w:trPr>
        <w:tc>
          <w:tcPr>
            <w:tcW w:w="8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20" w:type="dxa"/>
            <w:vAlign w:val="bottom"/>
            <w:shd w:val="clear" w:color="auto" w:fill="CCECFF"/>
          </w:tcPr>
          <w:p>
            <w:pPr>
              <w:spacing w:after="0"/>
              <w:rPr>
                <w:sz w:val="19"/>
                <w:szCs w:val="19"/>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106,675</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100,326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0" w:type="dxa"/>
            <w:vAlign w:val="bottom"/>
          </w:tcPr>
          <w:p>
            <w:pPr>
              <w:spacing w:after="0"/>
              <w:rPr>
                <w:sz w:val="1"/>
                <w:szCs w:val="1"/>
                <w:color w:val="auto"/>
              </w:rPr>
            </w:pPr>
          </w:p>
        </w:tc>
      </w:tr>
      <w:tr>
        <w:trPr>
          <w:trHeight w:val="230"/>
        </w:trPr>
        <w:tc>
          <w:tcPr>
            <w:tcW w:w="8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Borders>
              <w:bottom w:val="single" w:sz="8" w:color="auto"/>
            </w:tcBorders>
            <w:shd w:val="clear" w:color="auto" w:fill="CCECFF"/>
          </w:tcPr>
          <w:p>
            <w:pPr>
              <w:spacing w:after="0"/>
              <w:rPr>
                <w:sz w:val="19"/>
                <w:szCs w:val="19"/>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107,821</w:t>
            </w:r>
          </w:p>
        </w:tc>
        <w:tc>
          <w:tcPr>
            <w:tcW w:w="10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112,547</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342,942</w:t>
            </w:r>
          </w:p>
        </w:tc>
        <w:tc>
          <w:tcPr>
            <w:tcW w:w="10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342,248</w:t>
            </w:r>
          </w:p>
        </w:tc>
        <w:tc>
          <w:tcPr>
            <w:tcW w:w="0" w:type="dxa"/>
            <w:vAlign w:val="bottom"/>
          </w:tcPr>
          <w:p>
            <w:pPr>
              <w:spacing w:after="0"/>
              <w:rPr>
                <w:sz w:val="1"/>
                <w:szCs w:val="1"/>
                <w:color w:val="auto"/>
              </w:rPr>
            </w:pPr>
          </w:p>
        </w:tc>
      </w:tr>
      <w:tr>
        <w:trPr>
          <w:trHeight w:val="210"/>
        </w:trPr>
        <w:tc>
          <w:tcPr>
            <w:tcW w:w="8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shd w:val="clear" w:color="auto" w:fill="CCECFF"/>
          </w:tcPr>
          <w:p>
            <w:pPr>
              <w:spacing w:after="0"/>
              <w:rPr>
                <w:sz w:val="18"/>
                <w:szCs w:val="18"/>
                <w:color w:val="auto"/>
              </w:rPr>
            </w:pPr>
          </w:p>
        </w:tc>
        <w:tc>
          <w:tcPr>
            <w:tcW w:w="13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3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368,321</w:t>
            </w:r>
          </w:p>
        </w:tc>
        <w:tc>
          <w:tcPr>
            <w:tcW w:w="0" w:type="dxa"/>
            <w:vAlign w:val="bottom"/>
          </w:tcPr>
          <w:p>
            <w:pPr>
              <w:spacing w:after="0"/>
              <w:rPr>
                <w:sz w:val="1"/>
                <w:szCs w:val="1"/>
                <w:color w:val="auto"/>
              </w:rPr>
            </w:pPr>
          </w:p>
        </w:tc>
      </w:tr>
      <w:tr>
        <w:trPr>
          <w:trHeight w:val="230"/>
        </w:trPr>
        <w:tc>
          <w:tcPr>
            <w:tcW w:w="8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CFF"/>
          </w:tcPr>
          <w:p>
            <w:pPr>
              <w:spacing w:after="0"/>
              <w:rPr>
                <w:sz w:val="19"/>
                <w:szCs w:val="19"/>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non-current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8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Non-current income tax payable</w:t>
            </w:r>
          </w:p>
        </w:tc>
        <w:tc>
          <w:tcPr>
            <w:tcW w:w="120" w:type="dxa"/>
            <w:vAlign w:val="bottom"/>
            <w:shd w:val="clear" w:color="auto" w:fill="CCECFF"/>
          </w:tcPr>
          <w:p>
            <w:pPr>
              <w:spacing w:after="0"/>
              <w:rPr>
                <w:sz w:val="19"/>
                <w:szCs w:val="19"/>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Borders>
              <w:bottom w:val="single" w:sz="8" w:color="auto"/>
            </w:tcBorders>
            <w:shd w:val="clear" w:color="auto" w:fill="CCECFF"/>
          </w:tcPr>
          <w:p>
            <w:pPr>
              <w:spacing w:after="0"/>
              <w:rPr>
                <w:sz w:val="19"/>
                <w:szCs w:val="19"/>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376,977</w:t>
            </w:r>
          </w:p>
        </w:tc>
        <w:tc>
          <w:tcPr>
            <w:tcW w:w="10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374,412</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719,919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716,660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C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C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8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shd w:val="clear" w:color="auto" w:fill="CCECFF"/>
          </w:tcPr>
          <w:p>
            <w:pPr>
              <w:spacing w:after="0"/>
              <w:rPr>
                <w:sz w:val="19"/>
                <w:szCs w:val="19"/>
                <w:color w:val="auto"/>
              </w:rPr>
            </w:pPr>
          </w:p>
        </w:tc>
        <w:tc>
          <w:tcPr>
            <w:tcW w:w="13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3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shares, at cost (304,321 and 237,269 shares held as of March 31, 2026 and December 31,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0" w:type="dxa"/>
            <w:vAlign w:val="bottom"/>
          </w:tcPr>
          <w:p>
            <w:pPr>
              <w:spacing w:after="0"/>
              <w:rPr>
                <w:sz w:val="1"/>
                <w:szCs w:val="1"/>
                <w:color w:val="auto"/>
              </w:rPr>
            </w:pPr>
          </w:p>
        </w:tc>
      </w:tr>
      <w:tr>
        <w:trPr>
          <w:trHeight w:val="126"/>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2025, respectively)</w:t>
            </w:r>
          </w:p>
        </w:tc>
        <w:tc>
          <w:tcPr>
            <w:tcW w:w="1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Class A ordinary shares $0.05 par value, 50,673,268 shares authorized, 29,455,790 and 29,637,687</w:t>
            </w:r>
          </w:p>
        </w:tc>
        <w:tc>
          <w:tcPr>
            <w:tcW w:w="120" w:type="dxa"/>
            <w:vAlign w:val="bottom"/>
            <w:shd w:val="clear" w:color="auto" w:fill="CCECFF"/>
          </w:tcPr>
          <w:p>
            <w:pPr>
              <w:spacing w:after="0"/>
              <w:rPr>
                <w:sz w:val="19"/>
                <w:szCs w:val="19"/>
                <w:color w:val="auto"/>
              </w:rPr>
            </w:pPr>
          </w:p>
        </w:tc>
        <w:tc>
          <w:tcPr>
            <w:tcW w:w="13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3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126"/>
        </w:trPr>
        <w:tc>
          <w:tcPr>
            <w:tcW w:w="81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 respectively)</w:t>
            </w:r>
          </w:p>
        </w:tc>
        <w:tc>
          <w:tcPr>
            <w:tcW w:w="120" w:type="dxa"/>
            <w:vAlign w:val="bottom"/>
            <w:shd w:val="clear" w:color="auto" w:fill="CCECFF"/>
          </w:tcPr>
          <w:p>
            <w:pPr>
              <w:spacing w:after="0"/>
              <w:rPr>
                <w:sz w:val="10"/>
                <w:szCs w:val="10"/>
                <w:color w:val="auto"/>
              </w:rPr>
            </w:pPr>
          </w:p>
        </w:tc>
        <w:tc>
          <w:tcPr>
            <w:tcW w:w="1360" w:type="dxa"/>
            <w:vAlign w:val="bottom"/>
            <w:vMerge w:val="continue"/>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32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CCECFF"/>
            </w:tcBorders>
            <w:vMerge w:val="continue"/>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36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32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ordinary shares ($0.05 par value, 9,326,732 shares authorized as of March 31, 2026 and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2025, 7,156,732 and 7,276,732 shares issued and outstanding as of March 31, 2026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December 31, 2025)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CFF"/>
          </w:tcPr>
          <w:p>
            <w:pPr>
              <w:spacing w:after="0"/>
              <w:rPr>
                <w:sz w:val="19"/>
                <w:szCs w:val="19"/>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87,395</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88,674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30"/>
        </w:trPr>
        <w:tc>
          <w:tcPr>
            <w:tcW w:w="8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auto"/>
            </w:tcBorders>
            <w:shd w:val="clear" w:color="auto" w:fill="CCECFF"/>
          </w:tcPr>
          <w:p>
            <w:pPr>
              <w:spacing w:after="0"/>
              <w:rPr>
                <w:sz w:val="19"/>
                <w:szCs w:val="19"/>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433,500</w:t>
            </w:r>
          </w:p>
        </w:tc>
        <w:tc>
          <w:tcPr>
            <w:tcW w:w="10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400,866</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510,299</w:t>
            </w:r>
          </w:p>
        </w:tc>
        <w:tc>
          <w:tcPr>
            <w:tcW w:w="10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485,799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1,230,218</w:t>
            </w:r>
          </w:p>
        </w:tc>
        <w:tc>
          <w:tcPr>
            <w:tcW w:w="1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1,202,459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CFF"/>
              <w:bottom w:val="single" w:sz="8" w:color="CCEC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CFF"/>
              <w:bottom w:val="single" w:sz="8" w:color="auto"/>
            </w:tcBorders>
          </w:tcPr>
          <w:p>
            <w:pPr>
              <w:spacing w:after="0" w:line="20" w:lineRule="exact"/>
              <w:rPr>
                <w:sz w:val="1"/>
                <w:szCs w:val="1"/>
                <w:color w:val="auto"/>
              </w:rPr>
            </w:pPr>
          </w:p>
        </w:tc>
        <w:tc>
          <w:tcPr>
            <w:tcW w:w="136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bottom w:val="single" w:sz="8" w:color="auto"/>
            </w:tcBorders>
          </w:tcPr>
          <w:p>
            <w:pPr>
              <w:spacing w:after="0" w:line="20" w:lineRule="exact"/>
              <w:rPr>
                <w:sz w:val="1"/>
                <w:szCs w:val="1"/>
                <w:color w:val="auto"/>
              </w:rPr>
            </w:pPr>
          </w:p>
        </w:tc>
        <w:tc>
          <w:tcPr>
            <w:tcW w:w="132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8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GigaCloud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C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94,068</w:t>
            </w:r>
          </w:p>
        </w:tc>
        <w:tc>
          <w:tcPr>
            <w:tcW w:w="0" w:type="dxa"/>
            <w:vAlign w:val="bottom"/>
          </w:tcPr>
          <w:p>
            <w:pPr>
              <w:spacing w:after="0"/>
              <w:rPr>
                <w:sz w:val="1"/>
                <w:szCs w:val="1"/>
                <w:color w:val="auto"/>
              </w:rPr>
            </w:pPr>
          </w:p>
        </w:tc>
      </w:tr>
      <w:tr>
        <w:trPr>
          <w:trHeight w:val="229"/>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Product revenues</w:t>
            </w:r>
          </w:p>
        </w:tc>
        <w:tc>
          <w:tcPr>
            <w:tcW w:w="140" w:type="dxa"/>
            <w:vAlign w:val="bottom"/>
            <w:tcBorders>
              <w:bottom w:val="single" w:sz="8" w:color="auto"/>
            </w:tcBorders>
            <w:shd w:val="clear" w:color="auto" w:fill="CCECFF"/>
          </w:tcPr>
          <w:p>
            <w:pPr>
              <w:spacing w:after="0"/>
              <w:rPr>
                <w:sz w:val="19"/>
                <w:szCs w:val="19"/>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242,948</w:t>
            </w:r>
          </w:p>
        </w:tc>
        <w:tc>
          <w:tcPr>
            <w:tcW w:w="100" w:type="dxa"/>
            <w:vAlign w:val="bottom"/>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177,838</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359,488</w:t>
            </w:r>
          </w:p>
        </w:tc>
        <w:tc>
          <w:tcPr>
            <w:tcW w:w="10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271,906</w:t>
            </w:r>
          </w:p>
        </w:tc>
        <w:tc>
          <w:tcPr>
            <w:tcW w:w="0" w:type="dxa"/>
            <w:vAlign w:val="bottom"/>
          </w:tcPr>
          <w:p>
            <w:pPr>
              <w:spacing w:after="0"/>
              <w:rPr>
                <w:sz w:val="1"/>
                <w:szCs w:val="1"/>
                <w:color w:val="auto"/>
              </w:rPr>
            </w:pPr>
          </w:p>
        </w:tc>
      </w:tr>
      <w:tr>
        <w:trPr>
          <w:trHeight w:val="209"/>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79,156</w:t>
            </w:r>
          </w:p>
        </w:tc>
        <w:tc>
          <w:tcPr>
            <w:tcW w:w="0" w:type="dxa"/>
            <w:vAlign w:val="bottom"/>
          </w:tcPr>
          <w:p>
            <w:pPr>
              <w:spacing w:after="0"/>
              <w:rPr>
                <w:sz w:val="1"/>
                <w:szCs w:val="1"/>
                <w:color w:val="auto"/>
              </w:rPr>
            </w:pPr>
          </w:p>
        </w:tc>
      </w:tr>
      <w:tr>
        <w:trPr>
          <w:trHeight w:val="230"/>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Borders>
              <w:bottom w:val="single" w:sz="8" w:color="auto"/>
            </w:tcBorders>
            <w:shd w:val="clear" w:color="auto" w:fill="CCECFF"/>
          </w:tcPr>
          <w:p>
            <w:pPr>
              <w:spacing w:after="0"/>
              <w:rPr>
                <w:sz w:val="19"/>
                <w:szCs w:val="19"/>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167,012</w:t>
            </w:r>
          </w:p>
        </w:tc>
        <w:tc>
          <w:tcPr>
            <w:tcW w:w="100" w:type="dxa"/>
            <w:vAlign w:val="bottom"/>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129,024</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273,642</w:t>
            </w:r>
          </w:p>
        </w:tc>
        <w:tc>
          <w:tcPr>
            <w:tcW w:w="10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208,180</w:t>
            </w:r>
          </w:p>
        </w:tc>
        <w:tc>
          <w:tcPr>
            <w:tcW w:w="0" w:type="dxa"/>
            <w:vAlign w:val="bottom"/>
          </w:tcPr>
          <w:p>
            <w:pPr>
              <w:spacing w:after="0"/>
              <w:rPr>
                <w:sz w:val="1"/>
                <w:szCs w:val="1"/>
                <w:color w:val="auto"/>
              </w:rPr>
            </w:pPr>
          </w:p>
        </w:tc>
      </w:tr>
      <w:tr>
        <w:trPr>
          <w:trHeight w:val="223"/>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85,846</w:t>
            </w:r>
          </w:p>
        </w:tc>
        <w:tc>
          <w:tcPr>
            <w:tcW w:w="1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63,726</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31,242</w:t>
            </w:r>
          </w:p>
        </w:tc>
        <w:tc>
          <w:tcPr>
            <w:tcW w:w="1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w:t>
            </w:r>
          </w:p>
        </w:tc>
        <w:tc>
          <w:tcPr>
            <w:tcW w:w="0" w:type="dxa"/>
            <w:vAlign w:val="bottom"/>
          </w:tcPr>
          <w:p>
            <w:pPr>
              <w:spacing w:after="0"/>
              <w:rPr>
                <w:sz w:val="1"/>
                <w:szCs w:val="1"/>
                <w:color w:val="auto"/>
              </w:rPr>
            </w:pPr>
          </w:p>
        </w:tc>
      </w:tr>
      <w:tr>
        <w:trPr>
          <w:trHeight w:val="229"/>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Losses on disposal of property and equipment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bottom w:val="single" w:sz="8" w:color="auto"/>
            </w:tcBorders>
            <w:shd w:val="clear" w:color="auto" w:fill="CCECFF"/>
          </w:tcPr>
          <w:p>
            <w:pPr>
              <w:spacing w:after="0"/>
              <w:rPr>
                <w:sz w:val="19"/>
                <w:szCs w:val="19"/>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43,367</w:t>
            </w:r>
          </w:p>
        </w:tc>
        <w:tc>
          <w:tcPr>
            <w:tcW w:w="100" w:type="dxa"/>
            <w:vAlign w:val="bottom"/>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35,403</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28,323</w:t>
            </w:r>
          </w:p>
        </w:tc>
        <w:tc>
          <w:tcPr>
            <w:tcW w:w="0" w:type="dxa"/>
            <w:vAlign w:val="bottom"/>
          </w:tcPr>
          <w:p>
            <w:pPr>
              <w:spacing w:after="0"/>
              <w:rPr>
                <w:sz w:val="1"/>
                <w:szCs w:val="1"/>
                <w:color w:val="auto"/>
              </w:rPr>
            </w:pPr>
          </w:p>
        </w:tc>
      </w:tr>
      <w:tr>
        <w:trPr>
          <w:trHeight w:val="229"/>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29"/>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 (losses), net</w:t>
            </w:r>
          </w:p>
        </w:tc>
        <w:tc>
          <w:tcPr>
            <w:tcW w:w="14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23"/>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45,917</w:t>
            </w:r>
          </w:p>
        </w:tc>
        <w:tc>
          <w:tcPr>
            <w:tcW w:w="1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32,505</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0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0" w:type="dxa"/>
            <w:vAlign w:val="bottom"/>
          </w:tcPr>
          <w:p>
            <w:pPr>
              <w:spacing w:after="0"/>
              <w:rPr>
                <w:sz w:val="1"/>
                <w:szCs w:val="1"/>
                <w:color w:val="auto"/>
              </w:rPr>
            </w:pPr>
          </w:p>
        </w:tc>
      </w:tr>
      <w:tr>
        <w:trPr>
          <w:trHeight w:val="223"/>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38,124</w:t>
            </w:r>
          </w:p>
        </w:tc>
        <w:tc>
          <w:tcPr>
            <w:tcW w:w="100" w:type="dxa"/>
            <w:vAlign w:val="bottom"/>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27,146</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income taxes of nil</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30"/>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unrealized loss on available-for-sale investments</w:t>
            </w:r>
          </w:p>
        </w:tc>
        <w:tc>
          <w:tcPr>
            <w:tcW w:w="14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Intra-entity foreign currency transactions gain (loss)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30"/>
        </w:trPr>
        <w:tc>
          <w:tcPr>
            <w:tcW w:w="8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Release of foreign currency translation reserve related to liquidation of subsidiaries</w:t>
            </w:r>
          </w:p>
        </w:tc>
        <w:tc>
          <w:tcPr>
            <w:tcW w:w="140" w:type="dxa"/>
            <w:vAlign w:val="bottom"/>
            <w:tcBorders>
              <w:bottom w:val="single" w:sz="8" w:color="auto"/>
            </w:tcBorders>
            <w:shd w:val="clear" w:color="auto" w:fill="CCECFF"/>
          </w:tcPr>
          <w:p>
            <w:pPr>
              <w:spacing w:after="0"/>
              <w:rPr>
                <w:sz w:val="19"/>
                <w:szCs w:val="19"/>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(1,702)</w:t>
            </w:r>
          </w:p>
        </w:tc>
        <w:tc>
          <w:tcPr>
            <w:tcW w:w="10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2,040</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36,422</w:t>
            </w:r>
          </w:p>
        </w:tc>
        <w:tc>
          <w:tcPr>
            <w:tcW w:w="1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29,186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CFF"/>
              <w:bottom w:val="single" w:sz="8" w:color="CCEC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ordinary share</w:t>
            </w:r>
          </w:p>
        </w:tc>
        <w:tc>
          <w:tcPr>
            <w:tcW w:w="14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CCECFF"/>
              <w:bottom w:val="single" w:sz="8" w:color="auto"/>
            </w:tcBorders>
          </w:tcPr>
          <w:p>
            <w:pPr>
              <w:spacing w:after="0" w:line="20" w:lineRule="exact"/>
              <w:rPr>
                <w:sz w:val="1"/>
                <w:szCs w:val="1"/>
                <w:color w:val="auto"/>
              </w:rPr>
            </w:pPr>
          </w:p>
        </w:tc>
        <w:tc>
          <w:tcPr>
            <w:tcW w:w="106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20" w:type="dxa"/>
            <w:vAlign w:val="bottom"/>
            <w:tcBorders>
              <w:bottom w:val="single" w:sz="8" w:color="CCECFF"/>
            </w:tcBorders>
            <w:shd w:val="clear" w:color="auto" w:fill="CCEC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CFF"/>
              <w:bottom w:val="single" w:sz="8" w:color="CCEC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CCECFF"/>
              <w:bottom w:val="single" w:sz="8" w:color="auto"/>
            </w:tcBorders>
          </w:tcPr>
          <w:p>
            <w:pPr>
              <w:spacing w:after="0" w:line="20" w:lineRule="exact"/>
              <w:rPr>
                <w:sz w:val="1"/>
                <w:szCs w:val="1"/>
                <w:color w:val="auto"/>
              </w:rPr>
            </w:pPr>
          </w:p>
        </w:tc>
        <w:tc>
          <w:tcPr>
            <w:tcW w:w="106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C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C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20" w:type="dxa"/>
            <w:vAlign w:val="bottom"/>
            <w:shd w:val="clear" w:color="auto" w:fill="CCEC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 used in computing net income per ordinary share</w:t>
            </w:r>
          </w:p>
        </w:tc>
        <w:tc>
          <w:tcPr>
            <w:tcW w:w="14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36,683,938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40,020,265</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C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C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20" w:type="dxa"/>
            <w:vAlign w:val="bottom"/>
            <w:tcBorders>
              <w:bottom w:val="single" w:sz="8" w:color="CCECFF"/>
            </w:tcBorders>
            <w:shd w:val="clear" w:color="auto" w:fill="CCEC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CFF"/>
          </w:tcPr>
          <w:p>
            <w:pPr>
              <w:spacing w:after="0"/>
              <w:rPr>
                <w:sz w:val="21"/>
                <w:szCs w:val="21"/>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36,771,570</w:t>
            </w:r>
          </w:p>
        </w:tc>
        <w:tc>
          <w:tcPr>
            <w:tcW w:w="1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40,138,522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CFF"/>
              <w:bottom w:val="single" w:sz="8" w:color="CCEC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CCECFF"/>
              <w:bottom w:val="single" w:sz="8" w:color="auto"/>
            </w:tcBorders>
          </w:tcPr>
          <w:p>
            <w:pPr>
              <w:spacing w:after="0" w:line="20" w:lineRule="exact"/>
              <w:rPr>
                <w:sz w:val="1"/>
                <w:szCs w:val="1"/>
                <w:color w:val="auto"/>
              </w:rPr>
            </w:pPr>
          </w:p>
        </w:tc>
        <w:tc>
          <w:tcPr>
            <w:tcW w:w="106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8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GigaCloud Technology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3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23"/>
        </w:trPr>
        <w:tc>
          <w:tcPr>
            <w:tcW w:w="7400" w:type="dxa"/>
            <w:vAlign w:val="bottom"/>
            <w:tcBorders>
              <w:bottom w:val="single" w:sz="8" w:color="CCEC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r>
      <w:tr>
        <w:trPr>
          <w:trHeight w:val="209"/>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8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38,124</w:t>
            </w:r>
          </w:p>
        </w:tc>
        <w:tc>
          <w:tcPr>
            <w:tcW w:w="100" w:type="dxa"/>
            <w:vAlign w:val="bottom"/>
          </w:tcPr>
          <w:p>
            <w:pPr>
              <w:spacing w:after="0"/>
              <w:rPr>
                <w:sz w:val="19"/>
                <w:szCs w:val="19"/>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27,146</w:t>
            </w:r>
          </w:p>
        </w:tc>
      </w:tr>
      <w:tr>
        <w:trPr>
          <w:trHeight w:val="229"/>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provided by (used in) operating activities:</w:t>
            </w:r>
          </w:p>
        </w:tc>
        <w:tc>
          <w:tcPr>
            <w:tcW w:w="1180" w:type="dxa"/>
            <w:vAlign w:val="bottom"/>
            <w:shd w:val="clear" w:color="auto" w:fill="CCECFF"/>
          </w:tcPr>
          <w:p>
            <w:pPr>
              <w:spacing w:after="0"/>
              <w:rPr>
                <w:sz w:val="19"/>
                <w:szCs w:val="19"/>
                <w:color w:val="auto"/>
              </w:rPr>
            </w:pPr>
          </w:p>
        </w:tc>
        <w:tc>
          <w:tcPr>
            <w:tcW w:w="7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20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r>
      <w:tr>
        <w:trPr>
          <w:trHeight w:val="230"/>
        </w:trPr>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29"/>
        </w:trPr>
        <w:tc>
          <w:tcPr>
            <w:tcW w:w="740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shd w:val="clear" w:color="auto" w:fill="CCECFF"/>
          </w:tcPr>
          <w:p>
            <w:pPr>
              <w:spacing w:after="0"/>
              <w:rPr>
                <w:sz w:val="19"/>
                <w:szCs w:val="19"/>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CFF"/>
          </w:tcPr>
          <w:p>
            <w:pPr>
              <w:spacing w:after="0"/>
              <w:rPr>
                <w:sz w:val="19"/>
                <w:szCs w:val="19"/>
                <w:color w:val="auto"/>
              </w:rPr>
            </w:pPr>
          </w:p>
        </w:tc>
        <w:tc>
          <w:tcPr>
            <w:tcW w:w="120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29"/>
        </w:trPr>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lease</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740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8"/>
                <w:szCs w:val="18"/>
                <w:color w:val="auto"/>
              </w:rPr>
              <w:t>Changes in accounts receivables</w:t>
            </w:r>
          </w:p>
        </w:tc>
        <w:tc>
          <w:tcPr>
            <w:tcW w:w="1180" w:type="dxa"/>
            <w:vAlign w:val="bottom"/>
            <w:shd w:val="clear" w:color="auto" w:fill="CCECFF"/>
          </w:tcPr>
          <w:p>
            <w:pPr>
              <w:spacing w:after="0"/>
              <w:rPr>
                <w:sz w:val="19"/>
                <w:szCs w:val="19"/>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00" w:type="dxa"/>
            <w:vAlign w:val="bottom"/>
            <w:shd w:val="clear" w:color="auto" w:fill="CCECFF"/>
          </w:tcPr>
          <w:p>
            <w:pPr>
              <w:spacing w:after="0"/>
              <w:rPr>
                <w:sz w:val="19"/>
                <w:szCs w:val="19"/>
                <w:color w:val="auto"/>
              </w:rPr>
            </w:pPr>
          </w:p>
        </w:tc>
        <w:tc>
          <w:tcPr>
            <w:tcW w:w="120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(9,011)</w:t>
            </w:r>
          </w:p>
        </w:tc>
      </w:tr>
      <w:tr>
        <w:trPr>
          <w:trHeight w:val="229"/>
        </w:trPr>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in inventories</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(30,845)</w:t>
            </w:r>
          </w:p>
        </w:tc>
      </w:tr>
      <w:tr>
        <w:trPr>
          <w:trHeight w:val="229"/>
        </w:trPr>
        <w:tc>
          <w:tcPr>
            <w:tcW w:w="740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8"/>
                <w:szCs w:val="18"/>
                <w:color w:val="auto"/>
              </w:rPr>
              <w:t>Changes in prepayments and other assets</w:t>
            </w:r>
          </w:p>
        </w:tc>
        <w:tc>
          <w:tcPr>
            <w:tcW w:w="1180" w:type="dxa"/>
            <w:vAlign w:val="bottom"/>
            <w:shd w:val="clear" w:color="auto" w:fill="CCECFF"/>
          </w:tcPr>
          <w:p>
            <w:pPr>
              <w:spacing w:after="0"/>
              <w:rPr>
                <w:sz w:val="19"/>
                <w:szCs w:val="19"/>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CFF"/>
          </w:tcPr>
          <w:p>
            <w:pPr>
              <w:spacing w:after="0"/>
              <w:rPr>
                <w:sz w:val="19"/>
                <w:szCs w:val="19"/>
                <w:color w:val="auto"/>
              </w:rPr>
            </w:pPr>
          </w:p>
        </w:tc>
        <w:tc>
          <w:tcPr>
            <w:tcW w:w="120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30"/>
        </w:trPr>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in accounts payable, accrued expenses and other current liabilities</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14,551</w:t>
            </w:r>
          </w:p>
        </w:tc>
      </w:tr>
      <w:tr>
        <w:trPr>
          <w:trHeight w:val="229"/>
        </w:trPr>
        <w:tc>
          <w:tcPr>
            <w:tcW w:w="740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8"/>
                <w:szCs w:val="18"/>
                <w:color w:val="auto"/>
              </w:rPr>
              <w:t>Changes in contract liabilities</w:t>
            </w:r>
          </w:p>
        </w:tc>
        <w:tc>
          <w:tcPr>
            <w:tcW w:w="1180" w:type="dxa"/>
            <w:vAlign w:val="bottom"/>
            <w:shd w:val="clear" w:color="auto" w:fill="CCECFF"/>
          </w:tcPr>
          <w:p>
            <w:pPr>
              <w:spacing w:after="0"/>
              <w:rPr>
                <w:sz w:val="19"/>
                <w:szCs w:val="19"/>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CFF"/>
          </w:tcPr>
          <w:p>
            <w:pPr>
              <w:spacing w:after="0"/>
              <w:rPr>
                <w:sz w:val="19"/>
                <w:szCs w:val="19"/>
                <w:color w:val="auto"/>
              </w:rPr>
            </w:pPr>
          </w:p>
        </w:tc>
        <w:tc>
          <w:tcPr>
            <w:tcW w:w="120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30"/>
        </w:trPr>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in income tax payable</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r>
      <w:tr>
        <w:trPr>
          <w:trHeight w:val="229"/>
        </w:trPr>
        <w:tc>
          <w:tcPr>
            <w:tcW w:w="740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8"/>
                <w:szCs w:val="18"/>
                <w:color w:val="auto"/>
              </w:rPr>
              <w:t>Changes in deferred income taxes</w:t>
            </w:r>
          </w:p>
        </w:tc>
        <w:tc>
          <w:tcPr>
            <w:tcW w:w="1180" w:type="dxa"/>
            <w:vAlign w:val="bottom"/>
            <w:shd w:val="clear" w:color="auto" w:fill="CCECFF"/>
          </w:tcPr>
          <w:p>
            <w:pPr>
              <w:spacing w:after="0"/>
              <w:rPr>
                <w:sz w:val="19"/>
                <w:szCs w:val="19"/>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CFF"/>
          </w:tcPr>
          <w:p>
            <w:pPr>
              <w:spacing w:after="0"/>
              <w:rPr>
                <w:sz w:val="19"/>
                <w:szCs w:val="19"/>
                <w:color w:val="auto"/>
              </w:rPr>
            </w:pPr>
          </w:p>
        </w:tc>
        <w:tc>
          <w:tcPr>
            <w:tcW w:w="120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29"/>
        </w:trPr>
        <w:tc>
          <w:tcPr>
            <w:tcW w:w="7400" w:type="dxa"/>
            <w:vAlign w:val="bottom"/>
            <w:tcBorders>
              <w:bottom w:val="single" w:sz="8" w:color="CCECFF"/>
            </w:tcBorders>
          </w:tcPr>
          <w:p>
            <w:pPr>
              <w:ind w:left="44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CEC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3"/>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180" w:type="dxa"/>
            <w:vAlign w:val="bottom"/>
            <w:tcBorders>
              <w:bottom w:val="single" w:sz="8" w:color="auto"/>
            </w:tcBorders>
            <w:shd w:val="clear" w:color="auto" w:fill="CCECFF"/>
          </w:tcPr>
          <w:p>
            <w:pPr>
              <w:spacing w:after="0"/>
              <w:rPr>
                <w:sz w:val="19"/>
                <w:szCs w:val="19"/>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(21,735)</w:t>
            </w:r>
          </w:p>
        </w:tc>
        <w:tc>
          <w:tcPr>
            <w:tcW w:w="100" w:type="dxa"/>
            <w:vAlign w:val="bottom"/>
            <w:shd w:val="clear" w:color="auto" w:fill="CCECFF"/>
          </w:tcPr>
          <w:p>
            <w:pPr>
              <w:spacing w:after="0"/>
              <w:rPr>
                <w:sz w:val="19"/>
                <w:szCs w:val="19"/>
                <w:color w:val="auto"/>
              </w:rPr>
            </w:pPr>
          </w:p>
        </w:tc>
        <w:tc>
          <w:tcPr>
            <w:tcW w:w="1200" w:type="dxa"/>
            <w:vAlign w:val="bottom"/>
            <w:tcBorders>
              <w:bottom w:val="single" w:sz="8" w:color="auto"/>
            </w:tcBorders>
            <w:shd w:val="clear" w:color="auto" w:fill="CCECFF"/>
          </w:tcPr>
          <w:p>
            <w:pPr>
              <w:spacing w:after="0"/>
              <w:rPr>
                <w:sz w:val="19"/>
                <w:szCs w:val="19"/>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9,433</w:t>
            </w: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740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80" w:type="dxa"/>
            <w:vAlign w:val="bottom"/>
            <w:shd w:val="clear" w:color="auto" w:fill="CCECFF"/>
          </w:tcPr>
          <w:p>
            <w:pPr>
              <w:spacing w:after="0"/>
              <w:rPr>
                <w:sz w:val="19"/>
                <w:szCs w:val="19"/>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shd w:val="clear" w:color="auto" w:fill="CCECFF"/>
          </w:tcPr>
          <w:p>
            <w:pPr>
              <w:spacing w:after="0"/>
              <w:rPr>
                <w:sz w:val="19"/>
                <w:szCs w:val="19"/>
                <w:color w:val="auto"/>
              </w:rPr>
            </w:pPr>
          </w:p>
        </w:tc>
        <w:tc>
          <w:tcPr>
            <w:tcW w:w="120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29"/>
        </w:trPr>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Disposals of property and equipment</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40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180" w:type="dxa"/>
            <w:vAlign w:val="bottom"/>
            <w:shd w:val="clear" w:color="auto" w:fill="CCECFF"/>
          </w:tcPr>
          <w:p>
            <w:pPr>
              <w:spacing w:after="0"/>
              <w:rPr>
                <w:sz w:val="19"/>
                <w:szCs w:val="19"/>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100" w:type="dxa"/>
            <w:vAlign w:val="bottom"/>
            <w:shd w:val="clear" w:color="auto" w:fill="CCECFF"/>
          </w:tcPr>
          <w:p>
            <w:pPr>
              <w:spacing w:after="0"/>
              <w:rPr>
                <w:sz w:val="19"/>
                <w:szCs w:val="19"/>
                <w:color w:val="auto"/>
              </w:rPr>
            </w:pPr>
          </w:p>
        </w:tc>
        <w:tc>
          <w:tcPr>
            <w:tcW w:w="120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740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1180" w:type="dxa"/>
            <w:vAlign w:val="bottom"/>
            <w:tcBorders>
              <w:bottom w:val="single" w:sz="8" w:color="auto"/>
            </w:tcBorders>
            <w:shd w:val="clear" w:color="auto" w:fill="CCECFF"/>
          </w:tcPr>
          <w:p>
            <w:pPr>
              <w:spacing w:after="0"/>
              <w:rPr>
                <w:sz w:val="19"/>
                <w:szCs w:val="19"/>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27,793</w:t>
            </w:r>
          </w:p>
        </w:tc>
        <w:tc>
          <w:tcPr>
            <w:tcW w:w="100" w:type="dxa"/>
            <w:vAlign w:val="bottom"/>
            <w:shd w:val="clear" w:color="auto" w:fill="CCECFF"/>
          </w:tcPr>
          <w:p>
            <w:pPr>
              <w:spacing w:after="0"/>
              <w:rPr>
                <w:sz w:val="19"/>
                <w:szCs w:val="19"/>
                <w:color w:val="auto"/>
              </w:rPr>
            </w:pPr>
          </w:p>
        </w:tc>
        <w:tc>
          <w:tcPr>
            <w:tcW w:w="1200" w:type="dxa"/>
            <w:vAlign w:val="bottom"/>
            <w:tcBorders>
              <w:bottom w:val="single" w:sz="8" w:color="auto"/>
            </w:tcBorders>
            <w:shd w:val="clear" w:color="auto" w:fill="CCECFF"/>
          </w:tcPr>
          <w:p>
            <w:pPr>
              <w:spacing w:after="0"/>
              <w:rPr>
                <w:sz w:val="19"/>
                <w:szCs w:val="19"/>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31,986</w:t>
            </w:r>
          </w:p>
        </w:tc>
      </w:tr>
      <w:tr>
        <w:trPr>
          <w:trHeight w:val="223"/>
        </w:trPr>
        <w:tc>
          <w:tcPr>
            <w:tcW w:w="740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(14,807)</w:t>
            </w:r>
          </w:p>
        </w:tc>
        <w:tc>
          <w:tcPr>
            <w:tcW w:w="100" w:type="dxa"/>
            <w:vAlign w:val="bottom"/>
            <w:tcBorders>
              <w:bottom w:val="single" w:sz="8" w:color="CCEC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4,625</w:t>
            </w:r>
          </w:p>
        </w:tc>
      </w:tr>
      <w:tr>
        <w:trPr>
          <w:trHeight w:val="210"/>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8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r>
      <w:tr>
        <w:trPr>
          <w:trHeight w:val="230"/>
        </w:trPr>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40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1180" w:type="dxa"/>
            <w:vAlign w:val="bottom"/>
            <w:tcBorders>
              <w:bottom w:val="single" w:sz="8" w:color="auto"/>
            </w:tcBorders>
            <w:shd w:val="clear" w:color="auto" w:fill="CCECFF"/>
          </w:tcPr>
          <w:p>
            <w:pPr>
              <w:spacing w:after="0"/>
              <w:rPr>
                <w:sz w:val="19"/>
                <w:szCs w:val="19"/>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00" w:type="dxa"/>
            <w:vAlign w:val="bottom"/>
            <w:shd w:val="clear" w:color="auto" w:fill="CCECFF"/>
          </w:tcPr>
          <w:p>
            <w:pPr>
              <w:spacing w:after="0"/>
              <w:rPr>
                <w:sz w:val="19"/>
                <w:szCs w:val="19"/>
                <w:color w:val="auto"/>
              </w:rPr>
            </w:pPr>
          </w:p>
        </w:tc>
        <w:tc>
          <w:tcPr>
            <w:tcW w:w="1200" w:type="dxa"/>
            <w:vAlign w:val="bottom"/>
            <w:tcBorders>
              <w:bottom w:val="single" w:sz="8" w:color="auto"/>
            </w:tcBorders>
            <w:shd w:val="clear" w:color="auto" w:fill="CCECFF"/>
          </w:tcPr>
          <w:p>
            <w:pPr>
              <w:spacing w:after="0"/>
              <w:rPr>
                <w:sz w:val="19"/>
                <w:szCs w:val="19"/>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(22,734)</w:t>
            </w:r>
          </w:p>
        </w:tc>
      </w:tr>
      <w:tr>
        <w:trPr>
          <w:trHeight w:val="223"/>
        </w:trPr>
        <w:tc>
          <w:tcPr>
            <w:tcW w:w="740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(12,415)</w:t>
            </w:r>
          </w:p>
        </w:tc>
        <w:tc>
          <w:tcPr>
            <w:tcW w:w="100" w:type="dxa"/>
            <w:vAlign w:val="bottom"/>
            <w:tcBorders>
              <w:bottom w:val="single" w:sz="8" w:color="CCEC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(22,768)</w:t>
            </w:r>
          </w:p>
        </w:tc>
      </w:tr>
      <w:tr>
        <w:trPr>
          <w:trHeight w:val="223"/>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cash equivalents and restricted cash</w:t>
            </w:r>
          </w:p>
        </w:tc>
        <w:tc>
          <w:tcPr>
            <w:tcW w:w="1180" w:type="dxa"/>
            <w:vAlign w:val="bottom"/>
            <w:tcBorders>
              <w:bottom w:val="single" w:sz="8" w:color="auto"/>
            </w:tcBorders>
            <w:shd w:val="clear" w:color="auto" w:fill="CCECFF"/>
          </w:tcPr>
          <w:p>
            <w:pPr>
              <w:spacing w:after="0"/>
              <w:rPr>
                <w:sz w:val="19"/>
                <w:szCs w:val="19"/>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CFF"/>
          </w:tcPr>
          <w:p>
            <w:pPr>
              <w:spacing w:after="0"/>
              <w:rPr>
                <w:sz w:val="19"/>
                <w:szCs w:val="19"/>
                <w:color w:val="auto"/>
              </w:rPr>
            </w:pPr>
          </w:p>
        </w:tc>
        <w:tc>
          <w:tcPr>
            <w:tcW w:w="1200" w:type="dxa"/>
            <w:vAlign w:val="bottom"/>
            <w:tcBorders>
              <w:bottom w:val="single" w:sz="8" w:color="auto"/>
            </w:tcBorders>
            <w:shd w:val="clear" w:color="auto" w:fill="CCECFF"/>
          </w:tcPr>
          <w:p>
            <w:pPr>
              <w:spacing w:after="0"/>
              <w:rPr>
                <w:sz w:val="19"/>
                <w:szCs w:val="19"/>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3"/>
        </w:trPr>
        <w:tc>
          <w:tcPr>
            <w:tcW w:w="740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(49,503)</w:t>
            </w:r>
          </w:p>
        </w:tc>
        <w:tc>
          <w:tcPr>
            <w:tcW w:w="100" w:type="dxa"/>
            <w:vAlign w:val="bottom"/>
            <w:tcBorders>
              <w:bottom w:val="single" w:sz="8" w:color="CCEC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(8,036)</w:t>
            </w:r>
          </w:p>
        </w:tc>
      </w:tr>
      <w:tr>
        <w:trPr>
          <w:trHeight w:val="223"/>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1180" w:type="dxa"/>
            <w:vAlign w:val="bottom"/>
            <w:tcBorders>
              <w:bottom w:val="single" w:sz="8" w:color="auto"/>
            </w:tcBorders>
            <w:shd w:val="clear" w:color="auto" w:fill="CCECFF"/>
          </w:tcPr>
          <w:p>
            <w:pPr>
              <w:spacing w:after="0"/>
              <w:rPr>
                <w:sz w:val="19"/>
                <w:szCs w:val="19"/>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380,540</w:t>
            </w:r>
          </w:p>
        </w:tc>
        <w:tc>
          <w:tcPr>
            <w:tcW w:w="100" w:type="dxa"/>
            <w:vAlign w:val="bottom"/>
            <w:shd w:val="clear" w:color="auto" w:fill="CCECFF"/>
          </w:tcPr>
          <w:p>
            <w:pPr>
              <w:spacing w:after="0"/>
              <w:rPr>
                <w:sz w:val="19"/>
                <w:szCs w:val="19"/>
                <w:color w:val="auto"/>
              </w:rPr>
            </w:pPr>
          </w:p>
        </w:tc>
        <w:tc>
          <w:tcPr>
            <w:tcW w:w="1200" w:type="dxa"/>
            <w:vAlign w:val="bottom"/>
            <w:tcBorders>
              <w:bottom w:val="single" w:sz="8" w:color="auto"/>
            </w:tcBorders>
            <w:shd w:val="clear" w:color="auto" w:fill="CCECFF"/>
          </w:tcPr>
          <w:p>
            <w:pPr>
              <w:spacing w:after="0"/>
              <w:rPr>
                <w:sz w:val="19"/>
                <w:szCs w:val="19"/>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260,444</w:t>
            </w:r>
          </w:p>
        </w:tc>
      </w:tr>
      <w:tr>
        <w:trPr>
          <w:trHeight w:val="223"/>
        </w:trPr>
        <w:tc>
          <w:tcPr>
            <w:tcW w:w="740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331,037</w:t>
            </w:r>
          </w:p>
        </w:tc>
        <w:tc>
          <w:tcPr>
            <w:tcW w:w="100" w:type="dxa"/>
            <w:vAlign w:val="bottom"/>
            <w:tcBorders>
              <w:bottom w:val="single" w:sz="8" w:color="CCECFF"/>
            </w:tcBorders>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252,408</w:t>
            </w:r>
          </w:p>
        </w:tc>
      </w:tr>
      <w:tr>
        <w:trPr>
          <w:trHeight w:val="209"/>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8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80" w:type="dxa"/>
            <w:vAlign w:val="bottom"/>
            <w:shd w:val="clear" w:color="auto" w:fill="CCEC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CFF"/>
          </w:tcPr>
          <w:p>
            <w:pPr>
              <w:spacing w:after="0"/>
              <w:rPr>
                <w:sz w:val="19"/>
                <w:szCs w:val="19"/>
                <w:color w:val="auto"/>
              </w:rPr>
            </w:pPr>
          </w:p>
        </w:tc>
        <w:tc>
          <w:tcPr>
            <w:tcW w:w="120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under finance leases</w:t>
            </w:r>
          </w:p>
        </w:tc>
        <w:tc>
          <w:tcPr>
            <w:tcW w:w="1180" w:type="dxa"/>
            <w:vAlign w:val="bottom"/>
            <w:shd w:val="clear" w:color="auto" w:fill="CCEC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CFF"/>
          </w:tcPr>
          <w:p>
            <w:pPr>
              <w:spacing w:after="0"/>
              <w:rPr>
                <w:sz w:val="19"/>
                <w:szCs w:val="19"/>
                <w:color w:val="auto"/>
              </w:rPr>
            </w:pPr>
          </w:p>
        </w:tc>
        <w:tc>
          <w:tcPr>
            <w:tcW w:w="1200" w:type="dxa"/>
            <w:vAlign w:val="bottom"/>
            <w:shd w:val="clear" w:color="auto" w:fill="CCEC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and consideration payable</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Pr>
          <w:p>
            <w:pPr>
              <w:spacing w:after="0"/>
              <w:rPr>
                <w:sz w:val="20"/>
                <w:szCs w:val="20"/>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0"/>
        </w:trPr>
        <w:tc>
          <w:tcPr>
            <w:tcW w:w="74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GigaCloud Technology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RECONCILIATION OF ADJUSTED EBITDA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r>
      <w:tr>
        <w:trPr>
          <w:trHeight w:val="190"/>
        </w:trPr>
        <w:tc>
          <w:tcPr>
            <w:tcW w:w="8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5"/>
          </w:tcPr>
          <w:p>
            <w:pPr>
              <w:jc w:val="center"/>
              <w:ind w:left="53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38,124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27,146</w:t>
            </w:r>
          </w:p>
        </w:tc>
        <w:tc>
          <w:tcPr>
            <w:tcW w:w="20" w:type="dxa"/>
            <w:vAlign w:val="bottom"/>
          </w:tcPr>
          <w:p>
            <w:pPr>
              <w:spacing w:after="0"/>
              <w:rPr>
                <w:sz w:val="20"/>
                <w:szCs w:val="20"/>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Income tax expense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0" w:type="dxa"/>
            <w:vAlign w:val="bottom"/>
          </w:tcPr>
          <w:p>
            <w:pPr>
              <w:spacing w:after="0"/>
              <w:rPr>
                <w:sz w:val="19"/>
                <w:szCs w:val="19"/>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Interest expense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 income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0" w:type="dxa"/>
            <w:vAlign w:val="bottom"/>
          </w:tcPr>
          <w:p>
            <w:pPr>
              <w:spacing w:after="0"/>
              <w:rPr>
                <w:sz w:val="19"/>
                <w:szCs w:val="19"/>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0" w:type="dxa"/>
            <w:vAlign w:val="bottom"/>
          </w:tcPr>
          <w:p>
            <w:pPr>
              <w:spacing w:after="0"/>
              <w:rPr>
                <w:sz w:val="19"/>
                <w:szCs w:val="19"/>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 w:type="dxa"/>
            <w:vAlign w:val="bottom"/>
          </w:tcPr>
          <w:p>
            <w:pPr>
              <w:spacing w:after="0"/>
              <w:rPr>
                <w:sz w:val="19"/>
                <w:szCs w:val="19"/>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33,183</w:t>
            </w:r>
          </w:p>
        </w:tc>
        <w:tc>
          <w:tcPr>
            <w:tcW w:w="20" w:type="dxa"/>
            <w:vAlign w:val="bottom"/>
          </w:tcPr>
          <w:p>
            <w:pPr>
              <w:spacing w:after="0"/>
              <w:rPr>
                <w:sz w:val="21"/>
                <w:szCs w:val="2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0"/>
        </w:trPr>
        <w:tc>
          <w:tcPr>
            <w:tcW w:w="8500" w:type="dxa"/>
            <w:vAlign w:val="bottom"/>
            <w:gridSpan w:val="3"/>
          </w:tcPr>
          <w:p>
            <w:pPr>
              <w:ind w:left="2920"/>
              <w:spacing w:after="0"/>
              <w:rPr>
                <w:sz w:val="20"/>
                <w:szCs w:val="20"/>
                <w:color w:val="auto"/>
              </w:rPr>
            </w:pPr>
            <w:r>
              <w:rPr>
                <w:rFonts w:ascii="Times New Roman" w:cs="Times New Roman" w:eastAsia="Times New Roman" w:hAnsi="Times New Roman"/>
                <w:sz w:val="18"/>
                <w:szCs w:val="18"/>
                <w:b w:val="1"/>
                <w:bCs w:val="1"/>
                <w:color w:val="auto"/>
              </w:rPr>
              <w:t>UNAUDITED RECONCILIATION OF ADJUSTED EPS – DILUTED</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8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gridSpan w:val="6"/>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Pr>
          <w:p>
            <w:pPr>
              <w:spacing w:after="0"/>
              <w:rPr>
                <w:sz w:val="24"/>
                <w:szCs w:val="24"/>
                <w:color w:val="auto"/>
              </w:rPr>
            </w:pPr>
          </w:p>
        </w:tc>
      </w:tr>
      <w:tr>
        <w:trPr>
          <w:trHeight w:val="241"/>
        </w:trPr>
        <w:tc>
          <w:tcPr>
            <w:tcW w:w="8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5"/>
        </w:trPr>
        <w:tc>
          <w:tcPr>
            <w:tcW w:w="8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ordinary share – diluted</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p>
        </w:tc>
        <w:tc>
          <w:tcPr>
            <w:tcW w:w="20" w:type="dxa"/>
            <w:vAlign w:val="bottom"/>
            <w:shd w:val="clear" w:color="auto" w:fill="CCEEFF"/>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per ordinary share: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Income tax expense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shd w:val="clear" w:color="auto" w:fill="CCEEFF"/>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Interest expense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Interest income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shd w:val="clear" w:color="auto" w:fill="CCEEFF"/>
          </w:tcPr>
          <w:p>
            <w:pPr>
              <w:spacing w:after="0"/>
              <w:rPr>
                <w:sz w:val="19"/>
                <w:szCs w:val="19"/>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9"/>
                <w:szCs w:val="19"/>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EPS – diluted</w:t>
            </w: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0.83</w:t>
            </w:r>
          </w:p>
        </w:tc>
        <w:tc>
          <w:tcPr>
            <w:tcW w:w="20" w:type="dxa"/>
            <w:vAlign w:val="bottom"/>
            <w:tcBorders>
              <w:bottom w:val="single" w:sz="8" w:color="auto"/>
            </w:tcBorders>
          </w:tcPr>
          <w:p>
            <w:pPr>
              <w:spacing w:after="0"/>
              <w:rPr>
                <w:sz w:val="19"/>
                <w:szCs w:val="19"/>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3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ordinary shares outstanding - diluted</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36,771,570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40,138,522</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200"/>
      </w:cols>
      <w:pgMar w:left="32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4"/>
      <w:numFmt w:val="bullet"/>
      <w:start w:val="1"/>
    </w:lvl>
  </w:abstractNum>
  <w:abstractNum w:abstractNumId="6">
    <w:nsid w:val="515F007C"/>
    <w:multiLevelType w:val="hybridMultilevel"/>
    <w:lvl w:ilvl="0">
      <w:lvlJc w:val="left"/>
      <w:lvlText w:val="5"/>
      <w:numFmt w:val="bullet"/>
      <w:start w:val="1"/>
    </w:lvl>
  </w:abstractNum>
  <w:abstractNum w:abstractNumId="7">
    <w:nsid w:val="5BD062C2"/>
    <w:multiLevelType w:val="hybridMultilevel"/>
    <w:lvl w:ilvl="0">
      <w:lvlJc w:val="left"/>
      <w:lvlText w:val="6"/>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2026-05-07T05:23:19Z</dcterms:created>
  <dcterms:modified xsi:type="dcterms:W3CDTF">2026-05-07T05:23:19Z</dcterms:modified>
</cp:coreProperties>
</file>