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87845.xml.htm"/>
      <w:bookmarkStart w:id="1" w:name="kswkform4_17903878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Bernes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Brand Center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5"/>
        <w:gridCol w:w="901"/>
        <w:gridCol w:w="772"/>
        <w:gridCol w:w="598"/>
        <w:gridCol w:w="344"/>
        <w:gridCol w:w="920"/>
        <w:gridCol w:w="444"/>
        <w:gridCol w:w="923"/>
        <w:gridCol w:w="1145"/>
        <w:gridCol w:w="984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4,497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53.5838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20,950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13,800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54.3069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directly owned by the Marshall R. Bernes Family Trust ("Family Trust"). The Reporting Person is the settlor and a co-trustee of the Family Trust and, in such capacity, may be deemed to indirectly beneficially own the securities owned by the Family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5034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3453</Characters>
  <CharactersWithSpaces>4016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