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333-266058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Registration No. 333-266943</w:t>
      </w:r>
    </w:p>
    <w:p>
      <w:pPr>
        <w:spacing w:after="0" w:line="1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GigaCloud Technology Inc</w:t>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2,940,000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111760</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2" w:lineRule="exact"/>
        <w:rPr>
          <w:sz w:val="24"/>
          <w:szCs w:val="24"/>
          <w:color w:val="auto"/>
        </w:rPr>
      </w:pPr>
    </w:p>
    <w:p>
      <w:pPr>
        <w:jc w:val="both"/>
        <w:ind w:left="120" w:right="20" w:firstLine="881"/>
        <w:spacing w:after="0" w:line="236" w:lineRule="auto"/>
        <w:rPr>
          <w:sz w:val="20"/>
          <w:szCs w:val="20"/>
          <w:color w:val="auto"/>
        </w:rPr>
      </w:pPr>
      <w:r>
        <w:rPr>
          <w:rFonts w:ascii="Arial" w:cs="Arial" w:eastAsia="Arial" w:hAnsi="Arial"/>
          <w:sz w:val="13"/>
          <w:szCs w:val="13"/>
          <w:color w:val="auto"/>
        </w:rPr>
        <w:t>This is an initial public offering of 2,940,000 Class A ordinary shares, par value $0.05 per share, by GigaCloud Technology Inc. The initial public offering price of our Class A ordinary shares is $12.25 per Class A ordinary share.</w:t>
      </w:r>
    </w:p>
    <w:p>
      <w:pPr>
        <w:spacing w:after="0" w:line="16" w:lineRule="exact"/>
        <w:rPr>
          <w:sz w:val="24"/>
          <w:szCs w:val="24"/>
          <w:color w:val="auto"/>
        </w:rPr>
      </w:pPr>
    </w:p>
    <w:p>
      <w:pPr>
        <w:ind w:left="1000"/>
        <w:spacing w:after="0"/>
        <w:rPr>
          <w:sz w:val="20"/>
          <w:szCs w:val="20"/>
          <w:color w:val="auto"/>
        </w:rPr>
      </w:pPr>
      <w:r>
        <w:rPr>
          <w:rFonts w:ascii="Arial" w:cs="Arial" w:eastAsia="Arial" w:hAnsi="Arial"/>
          <w:sz w:val="10"/>
          <w:szCs w:val="10"/>
          <w:color w:val="auto"/>
        </w:rPr>
        <w:t>Prior to this offering, there has been no public market for our shares. Our Class A ordinary shares have been approved for listing on the Nasdaq Global Market, or Nasdaq, under the symbol “GCT.”</w:t>
      </w:r>
    </w:p>
    <w:p>
      <w:pPr>
        <w:spacing w:after="0" w:line="61" w:lineRule="exact"/>
        <w:rPr>
          <w:sz w:val="24"/>
          <w:szCs w:val="24"/>
          <w:color w:val="auto"/>
        </w:rPr>
      </w:pPr>
    </w:p>
    <w:p>
      <w:pPr>
        <w:ind w:left="120" w:right="20" w:firstLine="881"/>
        <w:spacing w:after="0" w:line="244" w:lineRule="auto"/>
        <w:rPr>
          <w:sz w:val="20"/>
          <w:szCs w:val="20"/>
          <w:color w:val="auto"/>
        </w:rPr>
      </w:pPr>
      <w:r>
        <w:rPr>
          <w:rFonts w:ascii="Arial" w:cs="Arial" w:eastAsia="Arial" w:hAnsi="Arial"/>
          <w:sz w:val="12"/>
          <w:szCs w:val="12"/>
          <w:color w:val="auto"/>
        </w:rPr>
        <w:t>In this prospectus, “Cayman Islands holding company” refers to GigaCloud Technology Inc, our Cayman Islands holding company and its predecessor entity; “we,” “us,” “our company,” “our,” “our group” or “GigaCloud Group” refers to GigaCloud Technology Inc, our Cayman Islands holding company, its predecessor entity, together as a group with its subsidiaries and, in the context of describing our operations and consolidated financial statements, its consolidated variable interest entities, or VIEs, and any subsidiaries of its consolidated VIEs; “Hong Kong Subsidiary” refers to GigaCloud Technology (HongKong) Limited, a wholly-owned subsidiary of GigaCloud Technology Inc in Hong Kong principally for operating the B2B GigaCloud Marketplace; and “PRC Subsidiaries” refer to operating subsidiaries of GigaCloud Technology Inc in mainland China principally for procurement and providing inter-group services to the group companies.</w:t>
      </w:r>
    </w:p>
    <w:p>
      <w:pPr>
        <w:spacing w:after="0" w:line="1" w:lineRule="exact"/>
        <w:rPr>
          <w:sz w:val="24"/>
          <w:szCs w:val="24"/>
          <w:color w:val="auto"/>
        </w:rPr>
      </w:pPr>
    </w:p>
    <w:p>
      <w:pPr>
        <w:ind w:left="1000"/>
        <w:spacing w:after="0"/>
        <w:rPr>
          <w:sz w:val="20"/>
          <w:szCs w:val="20"/>
          <w:color w:val="auto"/>
        </w:rPr>
      </w:pPr>
      <w:r>
        <w:rPr>
          <w:rFonts w:ascii="Arial" w:cs="Arial" w:eastAsia="Arial" w:hAnsi="Arial"/>
          <w:sz w:val="12"/>
          <w:szCs w:val="12"/>
          <w:color w:val="auto"/>
        </w:rPr>
        <w:t>We are an “emerging growth company” as defined under applicable securities laws in the United States, or the U.S., and are eligible for reduced public company reporting requirements.</w:t>
      </w:r>
    </w:p>
    <w:p>
      <w:pPr>
        <w:spacing w:after="0" w:line="34"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See “</w:t>
      </w:r>
      <w:r>
        <w:rPr>
          <w:rFonts w:ascii="Arial" w:cs="Arial" w:eastAsia="Arial" w:hAnsi="Arial"/>
          <w:sz w:val="13"/>
          <w:szCs w:val="13"/>
          <w:b w:val="1"/>
          <w:bCs w:val="1"/>
          <w:u w:val="single" w:color="auto"/>
          <w:color w:val="0000EE"/>
        </w:rPr>
        <w:t>Risk Factors</w:t>
      </w:r>
      <w:r>
        <w:rPr>
          <w:rFonts w:ascii="Arial" w:cs="Arial" w:eastAsia="Arial" w:hAnsi="Arial"/>
          <w:sz w:val="13"/>
          <w:szCs w:val="13"/>
          <w:b w:val="1"/>
          <w:bCs w:val="1"/>
          <w:color w:val="auto"/>
        </w:rPr>
        <w:t>” beginning on page 31 to read about factors you should consider before buying our Class A ordinary shares.</w:t>
      </w:r>
    </w:p>
    <w:p>
      <w:pPr>
        <w:spacing w:after="0" w:line="30" w:lineRule="exact"/>
        <w:rPr>
          <w:sz w:val="24"/>
          <w:szCs w:val="24"/>
          <w:color w:val="auto"/>
        </w:rPr>
      </w:pPr>
    </w:p>
    <w:p>
      <w:pPr>
        <w:ind w:left="120" w:right="60" w:firstLine="881"/>
        <w:spacing w:after="0" w:line="288" w:lineRule="auto"/>
        <w:rPr>
          <w:sz w:val="20"/>
          <w:szCs w:val="20"/>
          <w:color w:val="auto"/>
        </w:rPr>
      </w:pPr>
      <w:r>
        <w:rPr>
          <w:rFonts w:ascii="Arial" w:cs="Arial" w:eastAsia="Arial" w:hAnsi="Arial"/>
          <w:sz w:val="10"/>
          <w:szCs w:val="10"/>
          <w:color w:val="auto"/>
        </w:rPr>
        <w:t>GigaCloud Technology Inc is a holding company incorporated in the Cayman Islands and not a direct Chinese or Hong Kong operating company. As a holding company with no material operations of its own, GigaCloud Technology Inc conducts its operations through its principal subsidiaries incorporated in mainland China, Hong Kong, Japan and the United States and principal consolidated VIEs incorporated in the United States and the United Kingdom. Our corporate structure involves unique risks to investors as they are purchasing equity securities in a Cayman Islands holding company with operations conducted by our subsidiaries and consolidated VIEs, and not equity securities of our subsidiaries based in mainland China, Hong Kong, Japan and the United States, nor equity securities of our consolidated VIEs based in the United States and the United Kingdom. The Class A ordinary shares offered in this offering are shares of our Cayman Islands holding company instead of the shares of our subsidiaries or consolidated VIEs. Investors will not and may never directly hold equity interests in our subsidiaries or consolidated VIEs, including the equity interests in our principal subsidiaries based in mainland China, Hong Kong, Japan and the United States and our principal consolidated VIEs based in the United States and the United Kingdom. While our current corporate structure does not contain any VIE in the People’s Republic of China, or the PRC, and our group has no intention establishing any VIEs in the PRC in the future, if in the future our group’s corporate structure were to contain a VIE, the PRC regulatory authorities could disallow the VIE structure, which would likely result in a material change in our operations and/or a material change in the value of the securities we are registering for sale, including that it could cause the value of such securities to significantly decline or in extreme cases, become worthless. We do not own any equity interest in the consolidated VIEs. We control and receive the economic benefits of our consolidated VIEs and their business operations through certain contractual arrangements. Uncertainties exist as to our ability to enforce the VIE agreements, and the enforceability of the VIE agreements has not been tested in a court of law. For a description of our corporate structure and our contractual arrangements with our consolidated VIEs and the risks related to our corporate structure, see “Corporate History and Structure—Contractual Arrangements with Our Consolidated VIEs and their Shareholders,” “Risk Factors—Risks Related to Our Corporate Structure—We rely on contractual arrangements with our consolidated VIEs and their shareholders for a portion of our business operations. These arrangements may not be as effective as direct ownership in providing operational control,” and “Risk Factors—Risks Related to Doing Business in China—The PRC government may exert more control over offerings conducted overseas and/or foreign investment in mainland China- and Hong Kong-based issuers, may exercise significant oversight and discretion over a company’s ability to conduct business in mainland China and Hong Kong and may intervene in or influence our operations at any time, which could result in a material change in our operations and/or the value of the securities we are registering for sale.”</w:t>
      </w:r>
    </w:p>
    <w:p>
      <w:pPr>
        <w:spacing w:after="0" w:line="255" w:lineRule="exact"/>
        <w:rPr>
          <w:sz w:val="24"/>
          <w:szCs w:val="24"/>
          <w:color w:val="auto"/>
        </w:rPr>
      </w:pPr>
    </w:p>
    <w:p>
      <w:pPr>
        <w:ind w:left="120" w:right="20" w:firstLine="881"/>
        <w:spacing w:after="0" w:line="238" w:lineRule="auto"/>
        <w:rPr>
          <w:sz w:val="20"/>
          <w:szCs w:val="20"/>
          <w:color w:val="auto"/>
        </w:rPr>
      </w:pPr>
      <w:r>
        <w:rPr>
          <w:rFonts w:ascii="Arial" w:cs="Arial" w:eastAsia="Arial" w:hAnsi="Arial"/>
          <w:sz w:val="12"/>
          <w:szCs w:val="12"/>
          <w:color w:val="auto"/>
        </w:rPr>
        <w:t>The PRC government has recently indicated an intent to exert more oversight and control over overseas securities offerings and other capital markets activities by, and overseas and/or foreign investment in, companies with operations in mainland China and Hong Kong, including enhancing supervision over companies with operations in mainland China that are listed overseas using VIE structure, and that the PRC regulatory authorities could disallow the use of such VIE holding structure. We do not believe that we are directly subject to these regulatory actions or statements, as we do not currently have any VIE in the PRC. However, the rules and regulations and the enforcement thereof in China can change quickly. The PRC regulatory authorities could change the rules, regulations and policies regarding foreign ownership in the industry in which we operate, which would likely result in material change in our operations and/or a material change in the value of the securities we are registering for sale, including that it could cause the value of the securities to significantly decline, or become worthless. The PRC government may intervene with or influence our operations in mainland China and Hong Kong as the government deems appropriate to further regulatory, political and societal goals. Any such action, once taken by the PRC government, could result in a material change in our operations, significantly limit or completely hinder our ability to offer or continue to offer securities to investors and cause the value of the securities we are registering for sale to significantly decline or in extreme cases, become worthless. See “Risk Factors—Risks Related to Doing Business in China —The PRC government may exert more control over offerings conducted overseas and/or foreign investment in mainland China- and Hong Kong-based issuers, may exercise significant oversight and discretion over a company’s ability to conduct business in mainland China and Hong Kong and may intervene in or influence our operations at any time, which could result in a material change in our operations and/or the value of the securities we are registering for sale.”</w:t>
      </w:r>
    </w:p>
    <w:p>
      <w:pPr>
        <w:spacing w:after="0" w:line="20" w:lineRule="exact"/>
        <w:rPr>
          <w:sz w:val="24"/>
          <w:szCs w:val="24"/>
          <w:color w:val="auto"/>
        </w:rPr>
      </w:pPr>
    </w:p>
    <w:p>
      <w:pPr>
        <w:ind w:left="120" w:right="20" w:firstLine="881"/>
        <w:spacing w:after="0" w:line="238" w:lineRule="auto"/>
        <w:rPr>
          <w:sz w:val="20"/>
          <w:szCs w:val="20"/>
          <w:color w:val="auto"/>
        </w:rPr>
      </w:pPr>
      <w:r>
        <w:rPr>
          <w:rFonts w:ascii="Arial" w:cs="Arial" w:eastAsia="Arial" w:hAnsi="Arial"/>
          <w:sz w:val="12"/>
          <w:szCs w:val="12"/>
          <w:color w:val="auto"/>
        </w:rPr>
        <w:t>On June 30, 2020, the Standing Committee of the National People’s Congress of the PRC, or the Standing Committee of the NPC, promulgated the Law of the People’s Republic of China on Safeguarding National Security in the Hong Kong Special Administrative Region, or the Law of PRC on Safeguarding National Security in Hong Kong. The interpretation of the Law of the PRC on Safeguarding National Security in Hong Kong involves a degree of uncertainty. 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 For example, the PRC government may pressure the government of Hong Kong to enact similar laws and regulations to those in the PRC, which may seek to exert control over offerings conducted overseas by Hong Kong companies. If any or all of the foregoing were to occur, it could lead to a material adverse change in GigaCloud Group’s operations and limit or hinder our ability to offer securities to overseas investors or remain listed in the United States, which could cause the value of the securities we are registering for sale to significantly decline or become worthless. See “Risk Factors—Risks Related to Doing Business in China—Implementation of the Law of the PRC on Safeguarding National Security in Hong Kong involves uncertainty, and the recent policy pronouncements by the PRC government regarding business activities of U.S.-listed PRC businesses may negatively impact GigaCloud Group’s existing and future operations in Hong Kong.”</w:t>
      </w:r>
    </w:p>
    <w:p>
      <w:pPr>
        <w:spacing w:after="0" w:line="17" w:lineRule="exact"/>
        <w:rPr>
          <w:sz w:val="24"/>
          <w:szCs w:val="24"/>
          <w:color w:val="auto"/>
        </w:rPr>
      </w:pPr>
    </w:p>
    <w:p>
      <w:pPr>
        <w:ind w:left="120" w:right="20" w:firstLine="881"/>
        <w:spacing w:after="0" w:line="286" w:lineRule="auto"/>
        <w:rPr>
          <w:sz w:val="20"/>
          <w:szCs w:val="20"/>
          <w:color w:val="auto"/>
        </w:rPr>
      </w:pPr>
      <w:r>
        <w:rPr>
          <w:rFonts w:ascii="Arial" w:cs="Arial" w:eastAsia="Arial" w:hAnsi="Arial"/>
          <w:sz w:val="10"/>
          <w:szCs w:val="10"/>
          <w:color w:val="auto"/>
        </w:rPr>
        <w:t>Although we have operations in many locations globally, we face various legal and operational risks and uncertainties as a result of being based in and having operations in mainland China and Hong Kong. We launched our GigaCloud Marketplace under our Hong Kong Subsidiary in 2019. Our PRC Subsidiaries perform cost functions and internal operational functions, but our PRC Subsidiaries do not generate revenue in the PRC. Accordingly, the laws and regulations of the PRC have an impact on the operational and procurement aspects of our business. Furthermore, the PRC government has authority to exert political and economic influence on the ability of a company with operations in mainland China and Hong Kong to conduct business, accept foreign investment or list on the United States or the other foreign exchange. For example, we may face risks associated with regulatory approvals of offshore offerings, anti-monopoly regulatory actions, oversight on cybersecurity and data privacy, the lack of inspection of the Public Company Accounting Oversight Board, or the PCAOB, of our auditors, as well as regulatory risks relating to companies in Hong Kong. Based on our inquiry with the relevant PRC government authority and the advice of our PRC legal counsel, we believe we, including our PRC Subsidiaries and our Hong Kong Subsidiary, are currently not required to file with the Cyberspace Administration of China, or the CAC, for a cybersecurity review as of the date hereof, because (i) our B2B ecommerce platform, GigaCloud Marketplace, is operated in Hong Kong under our Hong Kong Subsidiary with under one million users, and (ii) our GigaCloud Marketplace is a B2B ecommerce platform and any data we collected on our sellers and buyers are limited without any personal information. See “Risk Factors—Risks Related to Doing Business in China—The approval or other administration requirements of the China Securities Regulatory Commission, or the CSRC, or other PRC governmental authorities, may be required in connection with this offering under a PRC regulation or any new laws, rules or regulations to be enacted, and if required, we cannot assure you that we will be able to obtain such approval. The regulation also establishes more complex procedures for acquisitions conducted by foreign investors that could make it more difficult for us to grow through acquisitions.” In light of recent statements and regulatory actions by the PRC government related to the PRC’s extension of authority into Hong Kong, there is also risk that the PRC government may intervene or influence our operations in Hong Kong, as our operations in Hong Kong are subject to political and economic influence from the PRC government. Our Hong Kong Subsidiary may be subject to direct intervention or influence from the PRC government in the future due to changes in laws or other unforeseeable reasons. Such risks could impact our ability to conduct our business, accept foreign investments, or list on the United States or the other foreign exchange, result in a material change in our operations and/or the value of our Class A ordinary shares or could significantly limit or completely hinder our ability to offer or continue to offer Class A ordinary shares and/or other securities to investors and cause the value of the securities we are registering for sale to significantly decline or be worthless. See “Risk Factors—Risks Related to Doing Business in China—The PRC government may exert more control over offerings conducted overseas and/or foreign investment in mainland China- and Hong Kong-based issuers, may exercise significant oversight and discretion over a company’s ability to conduct business in mainland China and Hong Kong and may intervene in or influence our operations at any time, which could result in a material change in our operations and/or the value of the securities we are registering for sale,” and “Risk Factors—Risks Related to Doing Business in China—We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firstLine="881"/>
        <w:spacing w:after="0" w:line="237" w:lineRule="auto"/>
        <w:rPr>
          <w:sz w:val="20"/>
          <w:szCs w:val="20"/>
          <w:color w:val="auto"/>
        </w:rPr>
      </w:pPr>
      <w:r>
        <w:rPr>
          <w:rFonts w:ascii="Arial" w:cs="Arial" w:eastAsia="Arial" w:hAnsi="Arial"/>
          <w:sz w:val="12"/>
          <w:szCs w:val="12"/>
          <w:color w:val="auto"/>
        </w:rPr>
        <w:t>On December 2, 2021, the SEC adopted amendments to finalize rules implementing the submission and disclosure requirements in the Holding Foreign Companies Accountable Act, or the HFCA Act. The rules apply to registrants the SEC identifies as having filed an annual report with an audit report issued by a registered public accounting firm that is located in a foreign jurisdiction and that the PCAOB is unable to inspect or investigate, or the Commission-Identified Issuers. The final amendments require Commission-Identified Issuers to submit documentation to the SEC establishing that it is not owned or controlled by a governmental entity in the public accounting firm’s foreign jurisdiction. Furthermore, on June 22, 2021, the U.S. Senate passed the Accelerating Holding Foreign Companies Accountable Act, which, if enacted into law would amend the HFCA Act and require the SEC to prohibit an issuer’s securities from trading on U.S. stock exchanges if its auditor is not subject to PCAOB inspections for two consecutive “non-inspection” years instead of three, and therefore reducing the time before our securities may be prohibited from trading on the Nasdaq or other U.S. stock exchanges, and this ultimately could result in our Class A ordinary shares being delisted.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 On December 16, 2021, the PCAOB issued a report on its determinations that the PCAOB is unable to inspect or investigate completely PCAOB-registered public accounting firms headquartered in mainland China and Hong Kong, because of positions taken by PRC authorities in these jurisdictions. The PCAOB included in its report a list of registered public accounting firms headquartered in mainland China and Hong Kong that the PCAOB is unable to inspect or investigate completely, including our auditor, KPMG Huazhen LLP. Our Class A ordinary shares may be delisted under the HFCA Act if the PCAOB is unable to inspect auditors who are located in China and if we fail to implement measures to enable PCAOB’ inspection of our auditor. See “Risk Factors—Related to Our Class A Ordinary Shares and this Offering—Our Class A ordinary shares may be delisted under the HFCA Act if the PCAOB is unable to inspect auditors who are located in China and if we fail to implement measures to enable PCAOB’s inspection of our auditor. The delisting of our Class A ordinary shares, or the threat of their being delisted, may materially and adversely affect the value of your investment. Additionally, the inability of the PCAOB to conduct inspections deprives our investors of the benefits of such inspections.”</w:t>
      </w:r>
    </w:p>
    <w:p>
      <w:pPr>
        <w:spacing w:after="0" w:line="22" w:lineRule="exact"/>
        <w:rPr>
          <w:sz w:val="20"/>
          <w:szCs w:val="20"/>
          <w:color w:val="auto"/>
        </w:rPr>
      </w:pPr>
    </w:p>
    <w:p>
      <w:pPr>
        <w:ind w:left="120" w:firstLine="881"/>
        <w:spacing w:after="0" w:line="285" w:lineRule="auto"/>
        <w:rPr>
          <w:sz w:val="20"/>
          <w:szCs w:val="20"/>
          <w:color w:val="auto"/>
        </w:rPr>
      </w:pPr>
      <w:r>
        <w:rPr>
          <w:rFonts w:ascii="Arial" w:cs="Arial" w:eastAsia="Arial" w:hAnsi="Arial"/>
          <w:sz w:val="10"/>
          <w:szCs w:val="10"/>
          <w:color w:val="auto"/>
        </w:rPr>
        <w:t>We have operations in many locations globally through our principal subsidiaries incorporated in mainland China, Hong Kong, Japan and the United States and our principal consolidated VIEs incorporated in the United States and the United Kingdom. If needed, cash can be transferred between our holding company and subsidiaries through intercompany fund advances. In 2019, GigaCloud Technology Inc, our Cayman Islands holding company (i) received a total of $4.4 million in cash from our subsidiaries and our consolidated VIEs, of which nil was from our Hong Kong Subsidiary or PRC Subsidiaries; and (ii) transferred a total of $3.3 million in cash to our subsidiaries and our consolidated VIEs, of which $1.0 million was to our Hong Kong Subsidiary and $1.4 million was to Suzhou Dajianyun Transport Co., Ltd., or Suzhou GigaCloud. In 2020, GigaCloud Technology Inc (i) received a total of $12.3 million in cash from our subsidiaries and our consolidated VIEs, of which $1.1 million was from our Hong Kong Subsidiary and nil from our PRC Subsidiaries; and (ii) transferred a total of $2.1 million in cash to our subsidiaries and our consolidated VIEs, of which $1.8 million was to our Hong Kong Subsidiary. In 2021, GigaCloud Technology Inc</w:t>
      </w:r>
    </w:p>
    <w:p>
      <w:pPr>
        <w:spacing w:after="0" w:line="1" w:lineRule="exact"/>
        <w:rPr>
          <w:sz w:val="20"/>
          <w:szCs w:val="20"/>
          <w:color w:val="auto"/>
        </w:rPr>
      </w:pPr>
    </w:p>
    <w:p>
      <w:pPr>
        <w:ind w:left="120" w:hanging="4"/>
        <w:spacing w:after="0" w:line="284" w:lineRule="auto"/>
        <w:tabs>
          <w:tab w:leader="none" w:pos="270" w:val="left"/>
        </w:tabs>
        <w:numPr>
          <w:ilvl w:val="0"/>
          <w:numId w:val="1"/>
        </w:numPr>
        <w:rPr>
          <w:rFonts w:ascii="Arial" w:cs="Arial" w:eastAsia="Arial" w:hAnsi="Arial"/>
          <w:sz w:val="10"/>
          <w:szCs w:val="10"/>
          <w:color w:val="auto"/>
        </w:rPr>
      </w:pPr>
      <w:r>
        <w:rPr>
          <w:rFonts w:ascii="Arial" w:cs="Arial" w:eastAsia="Arial" w:hAnsi="Arial"/>
          <w:sz w:val="10"/>
          <w:szCs w:val="10"/>
          <w:color w:val="auto"/>
        </w:rPr>
        <w:t>received a total of $6.7 million in cash, of which $6.7 million was from our Hong Kong Subsidiary; and (ii) transferred a total of $18.6 million in cash to our subsidiaries, of which $18.5 million was to our Hong Kong Subsidiary and $0.1 million was to GigaCloud Trading (HongKong) Limited. In the three months ended March 31, 2022, GigaCloud Technology Inc (i) did not receive any cash transfer from our subsidiaries or consolidated VIEs; and (ii) transferred a total of $10.1 million to our subsidiaries, of which $10.0 million was to our Hong Kong Subsidiary and $0.1 million was to GigaCloud Trading (HongKong) Limited. Suzhou GigaCloud was a consolidated VIE in mainland China from 2018 to February 2021, and we acquired 100% of the equity interest in Suzhou GigaCloud in February 2021, which then became our indirect wholly-owned subsidiary. In 2019, Suzhou GigaCloud did not have any transfers, dividends or distributions with our Cayman Islands holding company or other intercompany entities. In 2020 and 2021, Suzhou GigaCloud received a total of $0.4 million and $1.5 million, respectively, in cash from our Hong Kong Subsidiary. In the three months ended March 31, 2022, Suzhou GigaCloud received a total of $0.3 million in cash from our Hong Kong Subsidiary. In 2020 and 2021, Suzhou GigaCloud transferred a total of nil and $0.5 million, respectively, in cash to our subsidiary in Japan and our consolidated VIE in the United States. In the three months ended March 31, 2022, Suzhou GigaCloud did not have any transfers, dividends or distributions with our Cayman Islands holding company or other intercompany entities. In 2019, 2020, 2021 and the three months ended March 31, 2022, GigaCloud Technology (Suzhou) Co., Ltd., our wholly-owned subsidiary in mainland China, transferred a total of $0.04 million, nil, $0.06 million and nil, respectively, in cash to our subsidiaries in mainland China. In 2019, 2020, 2021 and the three months ended March 31, 2022, GigaCloud Technology (Suzhou) Co., Ltd. received a total of $3.1 million in cash, of which $1.7 million was from our Hong Kong Subsidiary and $1.4 million was from GigaCloud Technology Inc, $4.6 million in cash from our Hong Kong Subsidiary, $15.1 million in cash, of which $15.0 million was from our Hong Kong Subsidiary and $0.1 million was from one of our PRC Subsidiaries, and $2.9 million in cash from our Hong Kong Subsidiary, respectively. As of the date of this prospectus, other than the cash transfer described hereto, there were no transfer of other assets between our Cayman Islands holding company, our subsidiaries and VIEs. Our subsidiaries and consolidated VIEs have never made any dividends or distributions to our Cayman Islands holding company, or to investors. Similarly, our Cayman Islands holding company has not declared or made any dividend or other distribution to its shareholders, including U.S. investors, in the past. If we decide to pay dividends on any of our ordinary shares in the future, as a holding company, we will be dependent on receipt of funds from our principal subsidiaries in Hong Kong, Japan and the United States and our principal consolidated VIEs in the United States and the United Kingdom. There are currently no restrictions on foreign exchange and our ability to transfer cash among our Cayman Islands holding company and our principal subsidiaries and consolidated VIEs, as applicable, in Hong Kong, Japan, the United States and the United Kingdom, or to investors. Although we did not rely on our PRC Subsidiaries in dividends or other distributions on equity in the past, in the event that our PRC Subsidiaries were to issue dividends or distribution to us out of mainland China in the future, our PRC Subsidiaries may be subject to the applicable foreign currency control. To date, there have not been any such dividends or other distributions from our PRC Subsidiaries to our subsidiaries located outside of mainland China. In addition, save as disclosed above, as of the date of this prospectus, none of our subsidiaries have ever issued any dividends or distributions to us or their respective shareholders outside of mainland China. In the PRC, the PRC government imposes controls on the convertibility of the Renminbi into foreign currencies and the remittance of currency out of the PRC which may restrict our PRC Subsidiaries’ ability to transfer cash from our PRC Subsidiaries to our other non-mainland China entities. 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mainland China or held by a mainland China entity, the assets may not be available to fund operations or for other use outside of mainland China due to interventions in or the imposition of restrictions and limitations on the ability of us and our subsidiaries to transfer assets by the PRC government.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on GigaCloud Group’s ability to transfer or distribute cash within its organization, which could result in an inability or prohibition on making transfers or distributions to entities outside of mainland China and Hong Kong and adversely affect its business. Saved as the foregoing limitations imposed by the PRC government as described hereto, there are currently no limitations on our or our subsidiaries’ ability to transfer cash to investors. See “Risk Factors—Risks Related to Doing Business in China—Governmental control of currency conversion may limit our ability to utilize our revenues, transfer or distribute cash within our group effectively and affect the value of your investment.”</w:t>
      </w:r>
    </w:p>
    <w:p>
      <w:pPr>
        <w:spacing w:after="0" w:line="200" w:lineRule="exact"/>
        <w:rPr>
          <w:sz w:val="20"/>
          <w:szCs w:val="20"/>
          <w:color w:val="auto"/>
        </w:rPr>
      </w:pPr>
    </w:p>
    <w:p>
      <w:pPr>
        <w:spacing w:after="0" w:line="341" w:lineRule="exact"/>
        <w:rPr>
          <w:sz w:val="20"/>
          <w:szCs w:val="20"/>
          <w:color w:val="auto"/>
        </w:rPr>
      </w:pPr>
    </w:p>
    <w:p>
      <w:pPr>
        <w:ind w:left="120" w:right="60" w:firstLine="881"/>
        <w:spacing w:after="0" w:line="224" w:lineRule="auto"/>
        <w:rPr>
          <w:sz w:val="20"/>
          <w:szCs w:val="20"/>
          <w:color w:val="auto"/>
        </w:rPr>
      </w:pPr>
      <w:r>
        <w:rPr>
          <w:rFonts w:ascii="Arial" w:cs="Arial" w:eastAsia="Arial" w:hAnsi="Arial"/>
          <w:sz w:val="13"/>
          <w:szCs w:val="13"/>
          <w:color w:val="auto"/>
        </w:rPr>
        <w:t>We currently have not maintained any cash management policies that dictate the purpose, amount and procedure of fund transfers among our Cayman Islands holding company, our subsidiaries, the consolidated VIEs, or investors. Rather, the funds can be transferred in accordance with the applicable laws and regulations. See “Prospectus Summary—Cash Transfers and Dividend Distribution.” We may require additional capital resources in the future and we may seek to issue additional equity or debt securities or obtain new or expanded credit facilities, which could subject us to operating and financing covenants, including requirements to maintain certain amount of cash reserves. See “Risk Factors—Risks Related to Our Business and Industry—Our ability to raise capital in the future may be limited, and our failure to raise capital when needed could prevent us from growing.”</w:t>
      </w:r>
    </w:p>
    <w:p>
      <w:pPr>
        <w:spacing w:after="0" w:line="3" w:lineRule="exact"/>
        <w:rPr>
          <w:sz w:val="20"/>
          <w:szCs w:val="20"/>
          <w:color w:val="auto"/>
        </w:rPr>
      </w:pPr>
    </w:p>
    <w:p>
      <w:pPr>
        <w:ind w:left="120" w:right="80" w:firstLine="881"/>
        <w:spacing w:after="0" w:line="238" w:lineRule="auto"/>
        <w:rPr>
          <w:sz w:val="20"/>
          <w:szCs w:val="20"/>
          <w:color w:val="auto"/>
        </w:rPr>
      </w:pPr>
      <w:r>
        <w:rPr>
          <w:rFonts w:ascii="Arial" w:cs="Arial" w:eastAsia="Arial" w:hAnsi="Arial"/>
          <w:sz w:val="13"/>
          <w:szCs w:val="13"/>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87630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Per Class A</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3"/>
        </w:trPr>
        <w:tc>
          <w:tcPr>
            <w:tcW w:w="4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88"/>
              </w:rPr>
              <w:t>ordinary share</w:t>
            </w:r>
          </w:p>
        </w:tc>
        <w:tc>
          <w:tcPr>
            <w:tcW w:w="2040" w:type="dxa"/>
            <w:vAlign w:val="bottom"/>
          </w:tcPr>
          <w:p>
            <w:pPr>
              <w:spacing w:after="0"/>
              <w:rPr>
                <w:sz w:val="13"/>
                <w:szCs w:val="13"/>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Total</w:t>
            </w:r>
          </w:p>
        </w:tc>
      </w:tr>
      <w:tr>
        <w:trPr>
          <w:trHeight w:val="20"/>
        </w:trPr>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8"/>
        </w:trPr>
        <w:tc>
          <w:tcPr>
            <w:tcW w:w="4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Initial public offering price</w:t>
            </w:r>
          </w:p>
        </w:tc>
        <w:tc>
          <w:tcPr>
            <w:tcW w:w="1920" w:type="dxa"/>
            <w:vAlign w:val="bottom"/>
            <w:gridSpan w:val="2"/>
            <w:shd w:val="clear" w:color="auto" w:fill="CCEEFF"/>
          </w:tcPr>
          <w:p>
            <w:pPr>
              <w:ind w:left="1840"/>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12.25</w:t>
            </w:r>
          </w:p>
        </w:tc>
        <w:tc>
          <w:tcPr>
            <w:tcW w:w="2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w w:val="82"/>
              </w:rPr>
              <w:t>36,015,000</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Underwriting discounts and commissions (1)</w:t>
            </w:r>
          </w:p>
        </w:tc>
        <w:tc>
          <w:tcPr>
            <w:tcW w:w="1920" w:type="dxa"/>
            <w:vAlign w:val="bottom"/>
            <w:gridSpan w:val="2"/>
          </w:tcPr>
          <w:p>
            <w:pPr>
              <w:ind w:left="184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0.98</w:t>
            </w:r>
          </w:p>
        </w:tc>
        <w:tc>
          <w:tcPr>
            <w:tcW w:w="2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w w:val="93"/>
              </w:rPr>
              <w:t>2,881,200</w:t>
            </w: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before expenses, to us</w:t>
            </w:r>
          </w:p>
        </w:tc>
        <w:tc>
          <w:tcPr>
            <w:tcW w:w="1920" w:type="dxa"/>
            <w:vAlign w:val="bottom"/>
            <w:gridSpan w:val="2"/>
            <w:shd w:val="clear" w:color="auto" w:fill="CCEEFF"/>
          </w:tcPr>
          <w:p>
            <w:pPr>
              <w:ind w:left="1840"/>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11.27</w:t>
            </w:r>
          </w:p>
        </w:tc>
        <w:tc>
          <w:tcPr>
            <w:tcW w:w="2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33,133,800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93980</wp:posOffset>
            </wp:positionV>
            <wp:extent cx="702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1420" w:hanging="427"/>
        <w:spacing w:after="0"/>
        <w:tabs>
          <w:tab w:leader="none" w:pos="1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 additional information on underwriting compensation, see “Underwriting.”</w:t>
      </w:r>
    </w:p>
    <w:p>
      <w:pPr>
        <w:spacing w:after="0" w:line="26" w:lineRule="exact"/>
        <w:rPr>
          <w:sz w:val="20"/>
          <w:szCs w:val="20"/>
          <w:color w:val="auto"/>
        </w:rPr>
      </w:pPr>
    </w:p>
    <w:p>
      <w:pPr>
        <w:ind w:left="120" w:right="200" w:firstLine="881"/>
        <w:spacing w:after="0" w:line="236" w:lineRule="auto"/>
        <w:rPr>
          <w:sz w:val="20"/>
          <w:szCs w:val="20"/>
          <w:color w:val="auto"/>
        </w:rPr>
      </w:pPr>
      <w:r>
        <w:rPr>
          <w:rFonts w:ascii="Arial" w:cs="Arial" w:eastAsia="Arial" w:hAnsi="Arial"/>
          <w:sz w:val="13"/>
          <w:szCs w:val="13"/>
          <w:color w:val="auto"/>
        </w:rPr>
        <w:t>We have granted the underwriter a 45-day option to purchase up to an aggregate of 441,000 additional Class A ordinary shares, representing 15% of the Class A ordinary shares sold in the offering, from GigaCloud Technology Inc solely to cover over-allotments, if any, at the initial public offering price less the underwriting discounts and commissions.</w:t>
      </w:r>
    </w:p>
    <w:p>
      <w:pPr>
        <w:spacing w:after="0" w:line="16" w:lineRule="exact"/>
        <w:rPr>
          <w:sz w:val="20"/>
          <w:szCs w:val="20"/>
          <w:color w:val="auto"/>
        </w:rPr>
      </w:pPr>
    </w:p>
    <w:p>
      <w:pPr>
        <w:ind w:left="120" w:firstLine="881"/>
        <w:spacing w:after="0" w:line="223" w:lineRule="auto"/>
        <w:rPr>
          <w:sz w:val="20"/>
          <w:szCs w:val="20"/>
          <w:color w:val="auto"/>
        </w:rPr>
      </w:pPr>
      <w:r>
        <w:rPr>
          <w:rFonts w:ascii="Arial" w:cs="Arial" w:eastAsia="Arial" w:hAnsi="Arial"/>
          <w:sz w:val="13"/>
          <w:szCs w:val="13"/>
          <w:color w:val="auto"/>
        </w:rPr>
        <w:t>Immediately prior to the completion of this offering, our outstanding share capital will consist of Class A ordinary shares and Class B ordinary shares. Mr. Larry Lei Wu, our chairman of board of directors and chief executive officer, will beneficially own all of our issued Class B ordinary shares and will be able to exercise approximately 75.1% of the total voting power of our issued and outstanding share capital immediately following the completion of this offering. Holders of Class A ordinary shares and Class B ordinary shares will have the same rights except for voting and conversion rights. Each Class A ordinary share will be entitled to one vote, and each Class B ordinary share will be entitled to ten votes. Our Class A ordinary shares and Class B ordinary shares vote together as a single class on all matters submitted to a vote of our shareholders, except as may otherwise be required by law. Each Class B ordinary share will be convertible into Class A ordinary share. Class A ordinary shares will not be convertible into Class B ordinary shares under any circumstances.</w:t>
      </w:r>
    </w:p>
    <w:p>
      <w:pPr>
        <w:spacing w:after="0" w:line="4"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0"/>
          <w:szCs w:val="10"/>
          <w:color w:val="auto"/>
        </w:rPr>
        <w:t>Certain entities affiliated with DCM, one of our principal shareholders, have agreed to purchase, and have been allocated by the underwriter, an aggregate of 816,300 Class A ordinary shares in this offering at the initial public offering price, representing approximately 27.8% of the Class A ordinary shares being offered in this offering, assuming the underwriter does not exercise their over-allotment option. The underwriter will receive the same underwriting discounts and commissions on any shares purchased by these parties as the underwriter will on any other shares sold to the public in this offering. See “Underwriting.” Upon the completion of this offering, we will be a “controlled company” as defined under the Nasdaq Stock Market Listing Rules because Mr. Larry Lei Wu, our chairman of board of directors and chief executive officer, will hold more than 50% of our voting power for the election of directors through TALENT BOOM GROUP LIMITED and Ji Xiang Hu Tong Holdings Limited, the entities controlled by Mr. Wu. In addition, our directors, officers and certain affiliated shareholders will own a substantial majority of our shares and will be able to exercise a substantial majority of the total voting power of our total issued and outstanding ordinary shares immediately upon the completion of this offering, assuming the underwriter does not exercise the option to purchase additional Class A ordinary shares. See “Principal Shareholders” for details.</w:t>
      </w:r>
    </w:p>
    <w:p>
      <w:pPr>
        <w:spacing w:after="0" w:line="3" w:lineRule="exact"/>
        <w:rPr>
          <w:sz w:val="20"/>
          <w:szCs w:val="20"/>
          <w:color w:val="auto"/>
        </w:rPr>
      </w:pPr>
    </w:p>
    <w:p>
      <w:pPr>
        <w:ind w:left="4880" w:right="2620" w:hanging="3885"/>
        <w:spacing w:after="0" w:line="298" w:lineRule="auto"/>
        <w:rPr>
          <w:sz w:val="20"/>
          <w:szCs w:val="20"/>
          <w:color w:val="auto"/>
        </w:rPr>
      </w:pPr>
      <w:r>
        <w:rPr>
          <w:rFonts w:ascii="Arial" w:cs="Arial" w:eastAsia="Arial" w:hAnsi="Arial"/>
          <w:sz w:val="13"/>
          <w:szCs w:val="13"/>
          <w:color w:val="auto"/>
        </w:rPr>
        <w:t>The underwriter expects to deliver the Class A ordinary shares against payment in U.S. dollars in New York, New York on or about August 22, 2022 Sole Book-Running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38735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114935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PROSPECTUS DATED AUGUST 17, 2022</w:t>
      </w:r>
    </w:p>
    <w:p>
      <w:pPr>
        <w:sectPr>
          <w:pgSz w:w="11900" w:h="16838" w:orient="portrait"/>
          <w:cols w:equalWidth="0" w:num="1">
            <w:col w:w="11100"/>
          </w:cols>
          <w:pgMar w:left="320" w:top="459" w:right="4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sz w:val="20"/>
                <w:szCs w:val="20"/>
                <w:color w:val="auto"/>
              </w:rPr>
            </w:pPr>
            <w:r>
              <w:rPr>
                <w:rFonts w:ascii="Arial" w:cs="Arial" w:eastAsia="Arial" w:hAnsi="Arial"/>
                <w:sz w:val="18"/>
                <w:szCs w:val="18"/>
                <w:color w:val="0000EE"/>
              </w:rPr>
              <w:t>PROSPECTUS SUMMARY</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640" w:type="dxa"/>
            <w:vAlign w:val="bottom"/>
            <w:gridSpan w:val="2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RISK FACTORS</w:t>
            </w:r>
          </w:p>
        </w:tc>
        <w:tc>
          <w:tcPr>
            <w:tcW w:w="8560" w:type="dxa"/>
            <w:vAlign w:val="bottom"/>
            <w:gridSpan w:val="13"/>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5"/>
              </w:rPr>
              <w:t>SPECIAL NOTE REGARDING FORWARD-LOOKING STATEMENTS</w:t>
            </w:r>
          </w:p>
        </w:tc>
        <w:tc>
          <w:tcPr>
            <w:tcW w:w="5300" w:type="dxa"/>
            <w:vAlign w:val="bottom"/>
            <w:gridSpan w:val="2"/>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USE OF PROCEEDS</w:t>
            </w:r>
          </w:p>
        </w:tc>
        <w:tc>
          <w:tcPr>
            <w:tcW w:w="9040" w:type="dxa"/>
            <w:vAlign w:val="bottom"/>
            <w:gridSpan w:val="14"/>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DIVIDEND POLICY</w:t>
            </w:r>
          </w:p>
        </w:tc>
        <w:tc>
          <w:tcPr>
            <w:tcW w:w="9060" w:type="dxa"/>
            <w:vAlign w:val="bottom"/>
            <w:gridSpan w:val="15"/>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CAPITALIZATION</w:t>
            </w:r>
          </w:p>
        </w:tc>
        <w:tc>
          <w:tcPr>
            <w:tcW w:w="9160" w:type="dxa"/>
            <w:vAlign w:val="bottom"/>
            <w:gridSpan w:val="16"/>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DILUTION</w:t>
            </w:r>
          </w:p>
        </w:tc>
        <w:tc>
          <w:tcPr>
            <w:tcW w:w="9780" w:type="dxa"/>
            <w:vAlign w:val="bottom"/>
            <w:gridSpan w:val="23"/>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ENFORCEABILITY OF CIVIL LIABILITIES</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4"/>
              </w:rPr>
              <w:t>CORPORATE HISTORY AND STRUCTURE</w:t>
            </w:r>
          </w:p>
        </w:tc>
        <w:tc>
          <w:tcPr>
            <w:tcW w:w="7240" w:type="dxa"/>
            <w:vAlign w:val="bottom"/>
            <w:gridSpan w:val="6"/>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6"/>
              </w:rPr>
              <w:t>SELECTED CONSOLIDATED FINANCIAL AND OPERATING DATA</w:t>
            </w:r>
          </w:p>
        </w:tc>
        <w:tc>
          <w:tcPr>
            <w:tcW w:w="5320" w:type="dxa"/>
            <w:vAlign w:val="bottom"/>
            <w:gridSpan w:val="3"/>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BUSINESS</w:t>
            </w:r>
          </w:p>
        </w:tc>
        <w:tc>
          <w:tcPr>
            <w:tcW w:w="174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REGULATION</w:t>
            </w:r>
          </w:p>
        </w:tc>
        <w:tc>
          <w:tcPr>
            <w:tcW w:w="9500" w:type="dxa"/>
            <w:vAlign w:val="bottom"/>
            <w:gridSpan w:val="21"/>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MANAGEMENT</w:t>
            </w:r>
          </w:p>
        </w:tc>
        <w:tc>
          <w:tcPr>
            <w:tcW w:w="9340" w:type="dxa"/>
            <w:vAlign w:val="bottom"/>
            <w:gridSpan w:val="19"/>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185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PRINCIPAL SHAREHOLDERS</w:t>
            </w:r>
          </w:p>
        </w:tc>
        <w:tc>
          <w:tcPr>
            <w:tcW w:w="8260" w:type="dxa"/>
            <w:vAlign w:val="bottom"/>
            <w:gridSpan w:val="12"/>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RELATED PARTY TRANSACTIONS</w:t>
            </w:r>
          </w:p>
        </w:tc>
        <w:tc>
          <w:tcPr>
            <w:tcW w:w="7820" w:type="dxa"/>
            <w:vAlign w:val="bottom"/>
            <w:gridSpan w:val="11"/>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SHARE CAPITAL</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5"/>
              </w:rPr>
              <w:t>SHARES ELIGIBLE FOR FUTURE SALE</w:t>
            </w:r>
          </w:p>
        </w:tc>
        <w:tc>
          <w:tcPr>
            <w:tcW w:w="7460" w:type="dxa"/>
            <w:vAlign w:val="bottom"/>
            <w:gridSpan w:val="8"/>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216</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TAXATION</w:t>
            </w:r>
          </w:p>
        </w:tc>
        <w:tc>
          <w:tcPr>
            <w:tcW w:w="9740" w:type="dxa"/>
            <w:vAlign w:val="bottom"/>
            <w:gridSpan w:val="22"/>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218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UNDERWRITING</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EXPENSES RELATING TO THIS OFFERING</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237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LEGAL MATTERS</w:t>
            </w:r>
          </w:p>
        </w:tc>
        <w:tc>
          <w:tcPr>
            <w:tcW w:w="2000" w:type="dxa"/>
            <w:vAlign w:val="bottom"/>
            <w:tcBorders>
              <w:top w:val="single" w:sz="8" w:color="0000EE"/>
            </w:tcBorders>
            <w:gridSpan w:val="12"/>
          </w:tcPr>
          <w:p>
            <w:pPr>
              <w:spacing w:after="0"/>
              <w:rPr>
                <w:sz w:val="17"/>
                <w:szCs w:val="17"/>
                <w:color w:val="auto"/>
              </w:rPr>
            </w:pPr>
          </w:p>
        </w:tc>
        <w:tc>
          <w:tcPr>
            <w:tcW w:w="7180" w:type="dxa"/>
            <w:vAlign w:val="bottom"/>
            <w:gridSpan w:val="5"/>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238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EXPERTS</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240</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7"/>
              </w:rPr>
              <w:t>INDEX TO FINANCIAL STATEMENTS</w:t>
            </w:r>
          </w:p>
        </w:tc>
        <w:tc>
          <w:tcPr>
            <w:tcW w:w="1360" w:type="dxa"/>
            <w:vAlign w:val="bottom"/>
            <w:tcBorders>
              <w:top w:val="single" w:sz="8" w:color="0000EE"/>
            </w:tcBorders>
            <w:gridSpan w:val="5"/>
          </w:tcPr>
          <w:p>
            <w:pPr>
              <w:spacing w:after="0"/>
              <w:rPr>
                <w:sz w:val="17"/>
                <w:szCs w:val="17"/>
                <w:color w:val="auto"/>
              </w:rPr>
            </w:pPr>
          </w:p>
        </w:tc>
        <w:tc>
          <w:tcPr>
            <w:tcW w:w="6240" w:type="dxa"/>
            <w:vAlign w:val="bottom"/>
            <w:gridSpan w:val="4"/>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and the underwriter have not authorized anyone to provide you with information different from that contained in this prospectus or in any related free-writing prospectus. We take no responsibility for, and can provide no assurance as to the reliability of, any other information that others may give you. We are offering to sell, and seeking offers to buy the Class A ordinary shares offered hereby, but only under circumstances and in jurisdictions where offers and sales are permitted and lawful to do so. The information contained in this prospectus is current only as of its date, regardless of the time of delivery of this prospectus or of any sale of the Class A ordinary shares.</w:t>
      </w:r>
    </w:p>
    <w:p>
      <w:pPr>
        <w:spacing w:after="0" w:line="176"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Neither we nor the underwriter has done anything that would permit this offering or possession or distribution of this prospectus or any filed free writing prospectus in any jurisdiction where other action for that purpose is required, other than in the U.S. Persons outside the U.S. who come into possession of this prospectus or any filed free writing prospectus must inform themselves about, and observe any restrictions relating to, the offering of the Class A ordinary shares and the distribution of this prospectus or any filed free writing prospectus outside the U.S.</w:t>
      </w:r>
    </w:p>
    <w:p>
      <w:pPr>
        <w:spacing w:after="0" w:line="167" w:lineRule="exact"/>
        <w:rPr>
          <w:sz w:val="20"/>
          <w:szCs w:val="20"/>
          <w:color w:val="auto"/>
        </w:rPr>
      </w:pPr>
    </w:p>
    <w:p>
      <w:pPr>
        <w:jc w:val="both"/>
        <w:ind w:left="120" w:right="100" w:firstLine="881"/>
        <w:spacing w:after="0" w:line="289" w:lineRule="auto"/>
        <w:rPr>
          <w:sz w:val="20"/>
          <w:szCs w:val="20"/>
          <w:color w:val="auto"/>
        </w:rPr>
      </w:pPr>
      <w:r>
        <w:rPr>
          <w:rFonts w:ascii="Arial" w:cs="Arial" w:eastAsia="Arial" w:hAnsi="Arial"/>
          <w:sz w:val="17"/>
          <w:szCs w:val="17"/>
          <w:b w:val="1"/>
          <w:bCs w:val="1"/>
          <w:color w:val="auto"/>
        </w:rPr>
        <w:t>Until September 11, 2022 (the 25th day after the date of this prospectus), all dealers that buy, sell or trade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852"/>
        <w:spacing w:after="0" w:line="255"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Class A ordinary shares discussed under “Risk Factors,” “Business,” and information contained in “Management’s Discussion and Analysis of Financial Condition and Results of Operations” before deciding whether to invest in our Class A ordinary shares. This prospectus contains information from an industry report commissioned by us and prepared by Frost &amp; Sullivan, a third-party independent research firm. We refer to this report as the Frost and Sullivan Report.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We are a pioneer of global end-to-end B2B ecommerce solutions for large parcel merchandise. Our B2B ecommerce platform, which we refer to as the “GigaCloud Marketplace,” integrates everything from discovery, payments and logistics tools into one easy-to-use platform. Our global marketplace seamlessly connects manufacturers, primarily in Asia, with resellers, primarily in the U.S., Asia and Europe, to execute cross-border transactions with confidence, speed and efficiency. We offer a true comprehensive solution that transports products from the manufacturer’s warehouse to end customers, all at one fixed price. We first launched our marketplace in January 2019 by focusing on the global furniture market and have since expanded into additional categories such as home appliances and fitness equipment. GigaCloud Marketplace is one of the fastest growing large parcel B2B marketplaces with over $190.5 million, $414.2 million and $438.1 million of gross merchandise value, or GMV, transacted in our marketplace in 2020, 2021 and the 12 months ended March 31, 2022, respectively.</w:t>
      </w:r>
    </w:p>
    <w:p>
      <w:pPr>
        <w:spacing w:after="0" w:line="165" w:lineRule="exact"/>
        <w:rPr>
          <w:sz w:val="20"/>
          <w:szCs w:val="20"/>
          <w:color w:val="auto"/>
        </w:rPr>
      </w:pPr>
    </w:p>
    <w:p>
      <w:pPr>
        <w:ind w:left="300" w:right="60" w:firstLine="852"/>
        <w:spacing w:after="0" w:line="272" w:lineRule="auto"/>
        <w:rPr>
          <w:sz w:val="20"/>
          <w:szCs w:val="20"/>
          <w:color w:val="auto"/>
        </w:rPr>
      </w:pPr>
      <w:r>
        <w:rPr>
          <w:rFonts w:ascii="Arial" w:cs="Arial" w:eastAsia="Arial" w:hAnsi="Arial"/>
          <w:sz w:val="17"/>
          <w:szCs w:val="17"/>
          <w:color w:val="auto"/>
        </w:rPr>
        <w:t>We built the GigaCloud Marketplace to democratize access and distribution globally so that manufacturers, who are typically sellers in our marketplace, and online resellers, who are typically buyers in our marketplace, could transact without borders. Manufacturers view our marketplace as an essential sales channel to thousands of online resellers in the U.S. and Europe. Our GigaCloud Marketplace enables manufacturers to deliver their products around the world. Additionally, online resellers may lack the resources and infrastructure to manage a global supply chain and support international distribution. Our integrated ecommerce solutions allow online resellers to offer products and services comparable to those offered by large ecommerce platforms by giving them access to a large and growing catalog of products at wholesale prices, supported by industry-leading global fulfillment capabilities.</w:t>
      </w:r>
    </w:p>
    <w:p>
      <w:pPr>
        <w:spacing w:after="0" w:line="177"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To enhance our marketplace experience, we sell our own inventory, or 1P, through the GigaCloud Marketplace and to and through third-party ecommerce websites, such as Rakuten in Japan, Amazon and Walmart in the U.S. and Wayfair in the United Kingdom, or the U.K. These 1P revenues expand our market presence, reduce inventory and logistics risk for sellers, create more products for buyers, drive volume-based cost efficiencies for sourcing products, provide us with proprietary data and increase the velocity of sales on our marketplace. 1P revenues through the GigaCloud Marketplace and to and through third-party ecommerce websites represented 78.2%, 76.3%, 78.4% and 72.2% of total revenues in 2020, 2021 and the three months ended March 31, 2021 and 2022, respectively. As our GigaCloud Marketplace continues to grow, we expect 1P revenues as a percentage of total revenues to decline over time.</w:t>
      </w:r>
    </w:p>
    <w:p>
      <w:pPr>
        <w:spacing w:after="0" w:line="177"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We have built a cross-border fulfillment network optimized for large parcel products. We operate warehouses in four countries across North America, Europe and Asia. The U.S. is our largest market. We operate 21 large-scale warehouses around the world totaling over four million square feet of storage space, cover 11 ports of destination with over ten thousand annual containers, and have an extensive shipping and trucking network via partnerships with major shipping, trucking and freight service providers. By servicing the entire supply chain, we</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offer sellers and buyers in our marketplace enhanced visibility into product inventory, reducing turnover time and lower transaction costs. On average, we are able to deliver products to end customers within one week of their order and at a fixed rate that is cheaper than standard rates from FedEx and UPS.</w:t>
      </w:r>
    </w:p>
    <w:p>
      <w:pPr>
        <w:spacing w:after="0" w:line="184"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We have artificial intelligence software, or AI, that generates seller ratings and credit profiles through volume data. Additionally, our AI optimizes routing by organizing incoming orders and rebalancing inventory levels within our warehousing network. Our software platform includes flexible trading tools with which sellers can set prices based on quantities, delivery dates and fulfillment methods, and buyers have the option to purchase merchandise individually or in bulk.</w:t>
      </w:r>
    </w:p>
    <w:p>
      <w:pPr>
        <w:spacing w:after="0" w:line="187" w:lineRule="exact"/>
        <w:rPr>
          <w:sz w:val="20"/>
          <w:szCs w:val="20"/>
          <w:color w:val="auto"/>
        </w:rPr>
      </w:pPr>
    </w:p>
    <w:p>
      <w:pPr>
        <w:ind w:left="300" w:right="220" w:firstLine="852"/>
        <w:spacing w:after="0" w:line="275" w:lineRule="auto"/>
        <w:rPr>
          <w:sz w:val="20"/>
          <w:szCs w:val="20"/>
          <w:color w:val="auto"/>
        </w:rPr>
      </w:pPr>
      <w:r>
        <w:rPr>
          <w:rFonts w:ascii="Arial" w:cs="Arial" w:eastAsia="Arial" w:hAnsi="Arial"/>
          <w:sz w:val="17"/>
          <w:szCs w:val="17"/>
          <w:color w:val="auto"/>
        </w:rPr>
        <w:t>We leverage our proprietary data and AI to accelerate the network effects in our marketplace. As our marketplace grows, we accumulate user and product data to develop analytical and predicative tools such as product sales forecasts. This information is valuable to our sellers as it allows them to efficiently manage inventory and pricing. As sellers succeed in our marketplace, more sellers join, which expands our merchandise offerings. Our broad merchandise selection, competitive pricing and virtual warehousing capabilities encourage buyers to join and transact in our marketplace. More buyer activity leads to more sellers, creating a virtuous cycle.</w:t>
      </w:r>
    </w:p>
    <w:p>
      <w:pPr>
        <w:spacing w:after="0" w:line="176" w:lineRule="exact"/>
        <w:rPr>
          <w:sz w:val="20"/>
          <w:szCs w:val="20"/>
          <w:color w:val="auto"/>
        </w:rPr>
      </w:pPr>
    </w:p>
    <w:p>
      <w:pPr>
        <w:ind w:left="300" w:right="60" w:firstLine="852"/>
        <w:spacing w:after="0" w:line="257" w:lineRule="auto"/>
        <w:rPr>
          <w:sz w:val="20"/>
          <w:szCs w:val="20"/>
          <w:color w:val="auto"/>
        </w:rPr>
      </w:pPr>
      <w:r>
        <w:rPr>
          <w:rFonts w:ascii="Arial" w:cs="Arial" w:eastAsia="Arial" w:hAnsi="Arial"/>
          <w:sz w:val="18"/>
          <w:szCs w:val="18"/>
          <w:color w:val="auto"/>
        </w:rPr>
        <w:t>In 2020, we had 210 active third-party sellers, or active 3P sellers and 1,689 active buyers in our GigaCloud Marketplace, representing a year-over-year increase of 195.8% and 283.0%, respectively. In 2020, our users transacted $190.5 million of GigaCloud Marketplace GMV with an average spend per buyer of $112,777. This is a 437.0% year-over-year increase in GigaCloud Marketplace GMV and a 40.2% year-over-year increase in average spend per buyer from 2019, respectively. Combined with off-platform ecommerce GMV of $93.2 million, the total transactions that we facilitated aggregated a GMV of $283.7 million in 2020.</w:t>
      </w:r>
    </w:p>
    <w:p>
      <w:pPr>
        <w:spacing w:after="0" w:line="188" w:lineRule="exact"/>
        <w:rPr>
          <w:sz w:val="20"/>
          <w:szCs w:val="20"/>
          <w:color w:val="auto"/>
        </w:rPr>
      </w:pPr>
    </w:p>
    <w:p>
      <w:pPr>
        <w:ind w:left="300" w:right="60" w:firstLine="852"/>
        <w:spacing w:after="0" w:line="257" w:lineRule="auto"/>
        <w:rPr>
          <w:sz w:val="20"/>
          <w:szCs w:val="20"/>
          <w:color w:val="auto"/>
        </w:rPr>
      </w:pPr>
      <w:r>
        <w:rPr>
          <w:rFonts w:ascii="Arial" w:cs="Arial" w:eastAsia="Arial" w:hAnsi="Arial"/>
          <w:sz w:val="18"/>
          <w:szCs w:val="18"/>
          <w:color w:val="auto"/>
        </w:rPr>
        <w:t>In 2021, we had 382 active 3P sellers and 3,566 active buyers in our GigaCloud Marketplace, representing a year-over-year increase of 81.9% and 111.1%, respectively. In 2021, our users transacted $414.2 million of GigaCloud Marketplace GMV with an average spend per buyer of $116,150. This is a 117.4% year-over-year increase in GigaCloud Marketplace GMV and a 3.0% year-over-year increase in average spend per buyer from 2020, respectively. Combined with off-platform ecommerce GMV of $127.6 million, the total transactions that we facilitated aggregated a GMV of $541.8 million in 2021.</w:t>
      </w:r>
    </w:p>
    <w:p>
      <w:pPr>
        <w:spacing w:after="0" w:line="188" w:lineRule="exact"/>
        <w:rPr>
          <w:sz w:val="20"/>
          <w:szCs w:val="20"/>
          <w:color w:val="auto"/>
        </w:rPr>
      </w:pPr>
    </w:p>
    <w:p>
      <w:pPr>
        <w:ind w:left="300" w:right="140" w:firstLine="852"/>
        <w:spacing w:after="0" w:line="293" w:lineRule="auto"/>
        <w:rPr>
          <w:sz w:val="20"/>
          <w:szCs w:val="20"/>
          <w:color w:val="auto"/>
        </w:rPr>
      </w:pPr>
      <w:r>
        <w:rPr>
          <w:rFonts w:ascii="Arial" w:cs="Arial" w:eastAsia="Arial" w:hAnsi="Arial"/>
          <w:sz w:val="16"/>
          <w:szCs w:val="16"/>
          <w:color w:val="auto"/>
        </w:rPr>
        <w:t>In the 12 months ended March 31, 2022, we had 410 active 3P sellers and 3,782 active buyers in our GigaCloud Marketplace, representing a year-over-year increase of 73.7% and 76.9%, respectively. In the 12 months ended March 31, 2022, our users transacted $438.1 million of GigaCloud Marketplace GMV with an average spend per buyer of $115,845. This is a 69.1% year-over-year increase in GigaCloud Marketplace GMV and a 4.4% year-over-year decrease in average spend per buyer from the 12 months ended March 31, 2021, respectively. Combined with off-platform ecommerce GMV of $122.7 million, the total transactions that we facilitated aggregated a GMV of $560.8 million in the 12 months ended March 31, 2022, representing a 54.1% increase in GMV year-over-year from the 12 months ended March 31, 2021.</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experienced significant growth over the last three years. In 2019, 2020, 2021 and the three months ended March 31, 2021 and 2022:</w:t>
      </w:r>
    </w:p>
    <w:p>
      <w:pPr>
        <w:spacing w:after="0" w:line="275" w:lineRule="exact"/>
        <w:rPr>
          <w:sz w:val="20"/>
          <w:szCs w:val="20"/>
          <w:color w:val="auto"/>
        </w:rPr>
      </w:pPr>
    </w:p>
    <w:p>
      <w:pPr>
        <w:ind w:left="1540" w:right="200" w:hanging="297"/>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generated total revenues of $122.3 million, $275.5 million, $414.2 million, $94.5 million and $112.4 million, respectively, representing 125.3% and 50.4% year-over-year growth in 2020 and 2021, respectively, and 19.0% period-over-period growth in the three months ended March 31, 2022;</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840" w:hanging="297"/>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gross profit of $22.2 million, $75.1 million, $89.6 million, $20.9 million and $16.9 million, respectively, representing 18.1%, 27.3%, 21.6%, 22.1% and 15.0% of total revenues, respectively;</w:t>
      </w:r>
    </w:p>
    <w:p>
      <w:pPr>
        <w:spacing w:after="0" w:line="197" w:lineRule="exact"/>
        <w:rPr>
          <w:rFonts w:ascii="Arial" w:cs="Arial" w:eastAsia="Arial" w:hAnsi="Arial"/>
          <w:sz w:val="18"/>
          <w:szCs w:val="18"/>
          <w:color w:val="auto"/>
        </w:rPr>
      </w:pPr>
    </w:p>
    <w:p>
      <w:pPr>
        <w:ind w:left="1540" w:right="260" w:hanging="297"/>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net income was $2.9 million, $37.5 million (restated), $29.3 million, $8.0 million (restated) and $4.7 million, respectively; and</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Adjusted EBITDA was $4.9 million, $45.5 million, $48.0 million, $10.0 million and $6.9 million, respectively.</w:t>
      </w:r>
    </w:p>
    <w:p>
      <w:pPr>
        <w:spacing w:after="0" w:line="225" w:lineRule="exact"/>
        <w:rPr>
          <w:sz w:val="20"/>
          <w:szCs w:val="20"/>
          <w:color w:val="auto"/>
        </w:rPr>
      </w:pPr>
    </w:p>
    <w:p>
      <w:pPr>
        <w:ind w:left="300" w:right="420" w:firstLine="852"/>
        <w:spacing w:after="0" w:line="277" w:lineRule="auto"/>
        <w:rPr>
          <w:sz w:val="20"/>
          <w:szCs w:val="20"/>
          <w:color w:val="auto"/>
        </w:rPr>
      </w:pPr>
      <w:r>
        <w:rPr>
          <w:rFonts w:ascii="Arial" w:cs="Arial" w:eastAsia="Arial" w:hAnsi="Arial"/>
          <w:sz w:val="18"/>
          <w:szCs w:val="18"/>
          <w:color w:val="auto"/>
        </w:rPr>
        <w:t>See “Selected Consolidated Financial and Operating Data—Non-GAAP Financial Measures” for information regarding our use of Adjusted EBITDA and a reconciliation of net income to Adjusted EBITDA.</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Below is a summary of our key financial and operating metrics for the periods indicated: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For the 12 Months</w:t>
            </w:r>
          </w:p>
        </w:tc>
      </w:tr>
      <w:tr>
        <w:trPr>
          <w:trHeight w:val="191"/>
        </w:trPr>
        <w:tc>
          <w:tcPr>
            <w:tcW w:w="4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5"/>
              </w:rPr>
              <w:t>For the Year Ended December 31,</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Ended March 31,</w:t>
            </w:r>
          </w:p>
        </w:tc>
      </w:tr>
      <w:tr>
        <w:trPr>
          <w:trHeight w:val="135"/>
        </w:trPr>
        <w:tc>
          <w:tcPr>
            <w:tcW w:w="4780" w:type="dxa"/>
            <w:vAlign w:val="bottom"/>
          </w:tcPr>
          <w:p>
            <w:pPr>
              <w:spacing w:after="0" w:line="135" w:lineRule="exact"/>
              <w:rPr>
                <w:sz w:val="20"/>
                <w:szCs w:val="20"/>
                <w:color w:val="auto"/>
              </w:rPr>
            </w:pPr>
            <w:r>
              <w:rPr>
                <w:rFonts w:ascii="Arial" w:cs="Arial" w:eastAsia="Arial" w:hAnsi="Arial"/>
                <w:sz w:val="14"/>
                <w:szCs w:val="14"/>
                <w:b w:val="1"/>
                <w:bCs w:val="1"/>
                <w:color w:val="auto"/>
              </w:rPr>
              <w:t>GigaCloud Marketplace:</w:t>
            </w:r>
          </w:p>
        </w:tc>
        <w:tc>
          <w:tcPr>
            <w:tcW w:w="1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74"/>
              </w:rPr>
              <w:t>2021</w:t>
            </w: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0"/>
              </w:rPr>
              <w:t>2022</w:t>
            </w: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GigaCloud Marketplace GMV (in $ thousands)</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$35,468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$190,480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$ 414,192</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$ 259,050</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$ 438,126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Active 3P sellers</w:t>
            </w:r>
          </w:p>
        </w:tc>
        <w:tc>
          <w:tcPr>
            <w:tcW w:w="2100" w:type="dxa"/>
            <w:vAlign w:val="bottom"/>
            <w:gridSpan w:val="4"/>
          </w:tcPr>
          <w:p>
            <w:pPr>
              <w:jc w:val="right"/>
              <w:ind w:right="120"/>
              <w:spacing w:after="0"/>
              <w:rPr>
                <w:sz w:val="20"/>
                <w:szCs w:val="20"/>
                <w:color w:val="auto"/>
              </w:rPr>
            </w:pPr>
            <w:r>
              <w:rPr>
                <w:rFonts w:ascii="Arial" w:cs="Arial" w:eastAsia="Arial" w:hAnsi="Arial"/>
                <w:sz w:val="18"/>
                <w:szCs w:val="18"/>
                <w:color w:val="auto"/>
              </w:rPr>
              <w:t>71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382</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236</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410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Active buyers</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2,138</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3,782</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Spend per active buyer (in $)</w:t>
            </w:r>
          </w:p>
        </w:tc>
        <w:tc>
          <w:tcPr>
            <w:tcW w:w="2100" w:type="dxa"/>
            <w:vAlign w:val="bottom"/>
            <w:gridSpan w:val="4"/>
          </w:tcPr>
          <w:p>
            <w:pPr>
              <w:jc w:val="right"/>
              <w:ind w:right="120"/>
              <w:spacing w:after="0"/>
              <w:rPr>
                <w:sz w:val="20"/>
                <w:szCs w:val="20"/>
                <w:color w:val="auto"/>
              </w:rPr>
            </w:pPr>
            <w:r>
              <w:rPr>
                <w:rFonts w:ascii="Arial" w:cs="Arial" w:eastAsia="Arial" w:hAnsi="Arial"/>
                <w:sz w:val="18"/>
                <w:szCs w:val="18"/>
                <w:color w:val="auto"/>
              </w:rPr>
              <w:t>$80,427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$ 112,777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$ 116,150</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$ 121,165</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$ 115,845</w:t>
            </w:r>
          </w:p>
        </w:tc>
      </w:tr>
    </w:tbl>
    <w:p>
      <w:pPr>
        <w:spacing w:after="0" w:line="187" w:lineRule="exact"/>
        <w:rPr>
          <w:sz w:val="20"/>
          <w:szCs w:val="20"/>
          <w:color w:val="auto"/>
        </w:rPr>
      </w:pPr>
    </w:p>
    <w:p>
      <w:pPr>
        <w:ind w:left="300" w:right="140" w:firstLine="852"/>
        <w:spacing w:after="0" w:line="293" w:lineRule="auto"/>
        <w:rPr>
          <w:sz w:val="20"/>
          <w:szCs w:val="20"/>
          <w:color w:val="auto"/>
        </w:rPr>
      </w:pPr>
      <w:r>
        <w:rPr>
          <w:rFonts w:ascii="Arial" w:cs="Arial" w:eastAsia="Arial" w:hAnsi="Arial"/>
          <w:sz w:val="16"/>
          <w:szCs w:val="16"/>
          <w:color w:val="auto"/>
        </w:rPr>
        <w:t>Despite the global disruption including fulfillment network capacity and supply chain constraints caused by the COVID-19 pandemic, our growth was accelerated by the trend of consumers purchasing products online, as consumers are furnishing their apartments and homes to better serve their work-at-home and play-at-home needs during the COVID-19 pandemic. In the second quarter of 2020, our GigaCloud MarketPlace GMV grew at 122.9% compared to the previous quarter, which was the highest quarter-over-quarter growth rate of our GigaCloud MarketPlace GMV in 2020. We believe the onset of the COVID-19 pandemic has accelerated the adoption of our marketplace and our GigaCloud MarketPlace GMV continued to grow in the remaining quarters in 2020, 2021 and in the first quarter of 2022.</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Value Proposition to Sellers</w:t>
      </w:r>
    </w:p>
    <w:p>
      <w:pPr>
        <w:spacing w:after="0" w:line="229" w:lineRule="exact"/>
        <w:rPr>
          <w:sz w:val="20"/>
          <w:szCs w:val="20"/>
          <w:color w:val="auto"/>
        </w:rPr>
      </w:pPr>
    </w:p>
    <w:p>
      <w:pPr>
        <w:ind w:left="300" w:right="60" w:firstLine="852"/>
        <w:spacing w:after="0" w:line="289" w:lineRule="auto"/>
        <w:rPr>
          <w:sz w:val="20"/>
          <w:szCs w:val="20"/>
          <w:color w:val="auto"/>
        </w:rPr>
      </w:pPr>
      <w:r>
        <w:rPr>
          <w:rFonts w:ascii="Arial" w:cs="Arial" w:eastAsia="Arial" w:hAnsi="Arial"/>
          <w:sz w:val="16"/>
          <w:szCs w:val="16"/>
          <w:color w:val="auto"/>
        </w:rPr>
        <w:t>We lower the barriers to entry for sellers in our marketplace, who are able to quickly gain access to the key global markets in which we operate, including the U.S., the U.K., Germany and Japan. Sellers can directly connect with resellers in our marketplace and leverage our supply chain capabilities to establish overseas sales channels without having to invest in their own logistics. We manage the entire logistics process from the moment the product leaves the factory floor, and simplify the process by offering a flat rate program for shipping and handling. Leveraging our algorithm, we determine when and where to ship a product, reduce the amount of time a product is handled and select the most effective delivery mechanism for the product. Sellers are able to leverage our warehouse space, which we charge on a per cubic foot per day basis, in order to increase warehouse utilization rates and reduce cost. Our platform provides multiple channels through which sellers can sell their product, enhancing their inventory turnover rate and increasing their profitability. Many of the sellers operating in our GigaCloud Marketplace were originally suppliers of our 1P inventory that later joined the GigaCloud Marketplace as 3P sellers.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Value Proposition to Buyers</w:t>
      </w:r>
    </w:p>
    <w:p>
      <w:pPr>
        <w:spacing w:after="0" w:line="229" w:lineRule="exact"/>
        <w:rPr>
          <w:sz w:val="20"/>
          <w:szCs w:val="20"/>
          <w:color w:val="auto"/>
        </w:rPr>
      </w:pPr>
    </w:p>
    <w:p>
      <w:pPr>
        <w:ind w:left="300" w:right="120" w:firstLine="852"/>
        <w:spacing w:after="0" w:line="277" w:lineRule="auto"/>
        <w:rPr>
          <w:sz w:val="20"/>
          <w:szCs w:val="20"/>
          <w:color w:val="auto"/>
        </w:rPr>
      </w:pPr>
      <w:r>
        <w:rPr>
          <w:rFonts w:ascii="Arial" w:cs="Arial" w:eastAsia="Arial" w:hAnsi="Arial"/>
          <w:sz w:val="18"/>
          <w:szCs w:val="18"/>
          <w:color w:val="auto"/>
        </w:rPr>
        <w:t>Our marketplace offers one-stop-shop logistics solutions for a broad catalog of large parcel products sourced globally. We offer virtual warehousing and multiple fulfillment solutions including cloud courier, cloud</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04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wholesale fulfillment, white glove and drop shipping solutions so buyers do not need to manage physical order fulfillment. With 21 large-scale warehouses strategically positioned in key markets around the world, we have the capability to reach over 90% of customers in the lower 48 states in the U.S. within an average of three days of delivery time. Our solution effectively minimizes inventory risk for buyers and allows them to reach customers across geographies at an affordable price.</w:t>
      </w:r>
    </w:p>
    <w:p>
      <w:pPr>
        <w:spacing w:after="0" w:line="187" w:lineRule="exact"/>
        <w:rPr>
          <w:sz w:val="20"/>
          <w:szCs w:val="20"/>
          <w:color w:val="auto"/>
        </w:rPr>
      </w:pPr>
    </w:p>
    <w:p>
      <w:pPr>
        <w:ind w:left="300" w:right="720" w:firstLine="852"/>
        <w:spacing w:after="0" w:line="277" w:lineRule="auto"/>
        <w:rPr>
          <w:sz w:val="20"/>
          <w:szCs w:val="20"/>
          <w:color w:val="auto"/>
        </w:rPr>
      </w:pPr>
      <w:r>
        <w:rPr>
          <w:rFonts w:ascii="Arial" w:cs="Arial" w:eastAsia="Arial" w:hAnsi="Arial"/>
          <w:sz w:val="18"/>
          <w:szCs w:val="18"/>
          <w:color w:val="auto"/>
        </w:rPr>
        <w:t>We also provide buyers the optionality to pre-sell products through their own channels before placing an order in GigaCloud Marketplace. This significantly reduces buyers’ working capital needs and allow them to scale more efficiently.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300" w:right="100" w:firstLine="852"/>
        <w:spacing w:after="0" w:line="263" w:lineRule="auto"/>
        <w:rPr>
          <w:sz w:val="20"/>
          <w:szCs w:val="20"/>
          <w:color w:val="auto"/>
        </w:rPr>
      </w:pPr>
      <w:r>
        <w:rPr>
          <w:rFonts w:ascii="Arial" w:cs="Arial" w:eastAsia="Arial" w:hAnsi="Arial"/>
          <w:sz w:val="18"/>
          <w:szCs w:val="18"/>
          <w:color w:val="auto"/>
        </w:rPr>
        <w:t>The U.S. B2B large parcel market is massive and underpenetrated by ecommerce, largely due to the supply chain complexities of moving bulky items. We expect increasing adoption of end-to-end B2B ecommerce marketplaces by manufacturers and resellers globally as they compete against large ecommerce platforms in today’s digital retail economy.</w:t>
      </w:r>
    </w:p>
    <w:p>
      <w:pPr>
        <w:spacing w:after="0" w:line="184" w:lineRule="exact"/>
        <w:rPr>
          <w:sz w:val="20"/>
          <w:szCs w:val="20"/>
          <w:color w:val="auto"/>
        </w:rPr>
      </w:pPr>
    </w:p>
    <w:p>
      <w:pPr>
        <w:ind w:left="300" w:right="160" w:firstLine="852"/>
        <w:spacing w:after="0" w:line="257" w:lineRule="auto"/>
        <w:rPr>
          <w:sz w:val="20"/>
          <w:szCs w:val="20"/>
          <w:color w:val="auto"/>
        </w:rPr>
      </w:pPr>
      <w:r>
        <w:rPr>
          <w:rFonts w:ascii="Arial" w:cs="Arial" w:eastAsia="Arial" w:hAnsi="Arial"/>
          <w:sz w:val="18"/>
          <w:szCs w:val="18"/>
          <w:color w:val="auto"/>
        </w:rPr>
        <w:t>The U.S. B2B market is estimated at $14.8 trillion, nearly three times the size of the U.S. retail sales market and is currently underpenetrated by ecommerce. According to Frost and Sullivan, ecommerce penetration for U.S. B2B sales is estimated at 9.0%, lagging U.S. retail sales penetration of 14.3%, indicating substantial room for long-term growth. Frost and Sullivan estimates that U.S. B2B ecommerce sales has reached $1.3 trillion in 2020 and it is expected to grow at a compound annual growth rate, or CAGR, of 10.7% from 2020 to 2025, reaching $2.2 trillion.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9" w:right="7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Benefiting from the proliferation of the internet and smart phones, consumers are increasingly making purchase decisions online. Today’s ecommerce platforms offer consumers a wide selection of products, shopping schedule flexibility, multiple payment options and speedy delivery services unmatched by brick-and-mortar stores. In the core large parcel categories including furniture and home appliance, COVID-19 has accelerated the trend of consumers purchasing products online, as consumers are furnishing their apartments and homes to better serve their work-at-home and play-at-home needs. We expect this trend to continue in the coming years as remote working arrangements have become increasingly common. Frost and Sullivan estimates online sales for furniture and home appliance have reached $16.2 billion and $10.0 billion in 2020, respectively, and they are expected to grow at a CAGR of 10.1% and 6.6% to $26.1 billion and $13.8 billion from 2020 to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right="80" w:firstLine="852"/>
        <w:spacing w:after="0" w:line="257" w:lineRule="auto"/>
        <w:rPr>
          <w:sz w:val="20"/>
          <w:szCs w:val="20"/>
          <w:color w:val="auto"/>
        </w:rPr>
      </w:pPr>
      <w:r>
        <w:rPr>
          <w:rFonts w:ascii="Arial" w:cs="Arial" w:eastAsia="Arial" w:hAnsi="Arial"/>
          <w:sz w:val="18"/>
          <w:szCs w:val="18"/>
          <w:color w:val="auto"/>
        </w:rPr>
        <w:t>In today’s digital retail economy, B2B ecommerce marketplaces play a critical role in leveling the playing field between small to medium-sized retailers and large ecommerce platforms. To win customers, resellers not only compete on product quality and price, but also on selection, delivery speed and customer service. Delivering on all of these criteria is especially challenging in the large parcel market given the difficulties of moving bulky items. Small to medium-sized resellers often lack the resources to invest in their own supply chains and therefore tend to struggle to compete against well-capitalized large ecommerce platforms.</w:t>
      </w:r>
    </w:p>
    <w:p>
      <w:pPr>
        <w:spacing w:after="0" w:line="188" w:lineRule="exact"/>
        <w:rPr>
          <w:sz w:val="20"/>
          <w:szCs w:val="20"/>
          <w:color w:val="auto"/>
        </w:rPr>
      </w:pPr>
    </w:p>
    <w:p>
      <w:pPr>
        <w:ind w:left="300" w:right="140" w:firstLine="852"/>
        <w:spacing w:after="0" w:line="342" w:lineRule="auto"/>
        <w:rPr>
          <w:sz w:val="20"/>
          <w:szCs w:val="20"/>
          <w:color w:val="auto"/>
        </w:rPr>
      </w:pPr>
      <w:r>
        <w:rPr>
          <w:rFonts w:ascii="Arial" w:cs="Arial" w:eastAsia="Arial" w:hAnsi="Arial"/>
          <w:sz w:val="16"/>
          <w:szCs w:val="16"/>
          <w:color w:val="auto"/>
        </w:rPr>
        <w:t>B2B ecommerce marketplaces offer low-cost end-to-end supply chain solutions so that resellers can focus on growing sales without needing to create their own supply chains. We believe B2B marketplaces will become an increasingly important part of the digital retail economy.</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believe that the following components contribute to our success and differentiate us from our competitors:</w:t>
      </w:r>
    </w:p>
    <w:p>
      <w:pPr>
        <w:spacing w:after="0" w:line="252" w:lineRule="exact"/>
        <w:rPr>
          <w:sz w:val="20"/>
          <w:szCs w:val="20"/>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Pioneering cross-border B2B ecommerce marketplace for the large parcel market;</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Compelling value proposition to both sellers and buyers enhanced by network effects;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Industry-leading supply chain capabilities;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technology system;</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intelligence powered by AI;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and innovative team.</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58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3458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intend to pursue the following growth strategies:</w:t>
      </w:r>
    </w:p>
    <w:p>
      <w:pPr>
        <w:spacing w:after="0" w:line="252" w:lineRule="exact"/>
        <w:rPr>
          <w:sz w:val="20"/>
          <w:szCs w:val="20"/>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and diversify seller base and SKUs;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buyer base and engagement;</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product offerings;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geographic coverage.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300" w:firstLine="852"/>
        <w:spacing w:after="0" w:line="253" w:lineRule="auto"/>
        <w:rPr>
          <w:sz w:val="20"/>
          <w:szCs w:val="20"/>
          <w:color w:val="auto"/>
        </w:rPr>
      </w:pPr>
      <w:r>
        <w:rPr>
          <w:rFonts w:ascii="Arial" w:cs="Arial" w:eastAsia="Arial" w:hAnsi="Arial"/>
          <w:sz w:val="18"/>
          <w:szCs w:val="18"/>
          <w:color w:val="auto"/>
        </w:rPr>
        <w:t>On August 29, 2006, we incorporated Oriental Standard Human Resources Holdings Limited, our holding company, as a limited liability company in the Cayman Islands. We began our ecommerce business in Japan in 2010 through our wholly-owned subsidiary, Oriental Standard Japan Co., Ltd. We expanded to the U.K. in 2013 through our consolidated VIE, B.T.M TRAVEL AND TRADING LTD, and further expanded to the U.S. through our acquisition of COMPTREE INC. in 2014. COMPTREE INC. was renamed as GIGACLOUD TECHNOLOGY (USA) INC. in July 2021. In January 2019, we launched our ecommerce platform, GigaCloud Marketplace, through our Hong Kong Subsidiary, GigaCloud Technology (HongKong) Limited (formerly known as Giga Cloud Logistics (Hong Kong) Limited). As our marketplace and our ecommerce business continue to grow, we believe it is important to have a name for our holding company that is more representative of our businesses. Effective February 28, 2021, our holding company’s name is changed from Oriental Standard Human Resources Holdings Limited to GigaCloud Technology Inc.</w:t>
      </w:r>
    </w:p>
    <w:p>
      <w:pPr>
        <w:spacing w:after="0" w:line="3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320" w:top="459" w:right="8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67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The chart below shows our corporate structure and identifies our principal subsidiaries and principal consolidated VIEs described above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hanging="42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GIGA CLOUD LOGISTICS INC, our principal consolidated VIE, is wholly owned by Mr. Kunming Xu, our employee.</w:t>
      </w:r>
    </w:p>
    <w:p>
      <w:pPr>
        <w:spacing w:after="0" w:line="230" w:lineRule="exact"/>
        <w:rPr>
          <w:rFonts w:ascii="Arial" w:cs="Arial" w:eastAsia="Arial" w:hAnsi="Arial"/>
          <w:sz w:val="14"/>
          <w:szCs w:val="14"/>
          <w:color w:val="auto"/>
        </w:rPr>
      </w:pPr>
    </w:p>
    <w:p>
      <w:pPr>
        <w:ind w:left="720" w:hanging="42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B.T.M TRAVEL AND TRADING LTD, our principal consolidated VIE, is wholly owned by Mr. Wenbo Dou, our employee.</w:t>
      </w:r>
    </w:p>
    <w:p>
      <w:pPr>
        <w:spacing w:after="0" w:line="230" w:lineRule="exact"/>
        <w:rPr>
          <w:rFonts w:ascii="Arial" w:cs="Arial" w:eastAsia="Arial" w:hAnsi="Arial"/>
          <w:sz w:val="14"/>
          <w:szCs w:val="14"/>
          <w:color w:val="auto"/>
        </w:rPr>
      </w:pPr>
    </w:p>
    <w:p>
      <w:pPr>
        <w:ind w:left="720" w:hanging="42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COMHARBOR LIMITED, our principal consolidated VIE, is wholly owned by Mr. Wenjun Chang, our employee.</w:t>
      </w:r>
    </w:p>
    <w:p>
      <w:pPr>
        <w:spacing w:after="0" w:line="230" w:lineRule="exact"/>
        <w:rPr>
          <w:rFonts w:ascii="Arial" w:cs="Arial" w:eastAsia="Arial" w:hAnsi="Arial"/>
          <w:sz w:val="14"/>
          <w:szCs w:val="14"/>
          <w:color w:val="auto"/>
        </w:rPr>
      </w:pPr>
    </w:p>
    <w:p>
      <w:pPr>
        <w:ind w:left="720" w:hanging="422"/>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BRIHOME LIMITED, our principal consolidated VIE, is wholly owned by Mr. Yaoxuan Wang, our employee.</w:t>
      </w:r>
    </w:p>
    <w:p>
      <w:pPr>
        <w:spacing w:after="0" w:line="208" w:lineRule="exact"/>
        <w:rPr>
          <w:sz w:val="20"/>
          <w:szCs w:val="20"/>
          <w:color w:val="auto"/>
        </w:rPr>
      </w:pPr>
    </w:p>
    <w:p>
      <w:pPr>
        <w:ind w:left="300" w:right="60" w:firstLine="852"/>
        <w:spacing w:after="0" w:line="288" w:lineRule="auto"/>
        <w:rPr>
          <w:sz w:val="20"/>
          <w:szCs w:val="20"/>
          <w:color w:val="auto"/>
        </w:rPr>
      </w:pPr>
      <w:r>
        <w:rPr>
          <w:rFonts w:ascii="Arial" w:cs="Arial" w:eastAsia="Arial" w:hAnsi="Arial"/>
          <w:sz w:val="16"/>
          <w:szCs w:val="16"/>
          <w:color w:val="auto"/>
        </w:rPr>
        <w:t>In 2013, 2017 and 2018, GigaCloud Technology Inc (formerly known as Oriental Standard Human Resources Holdings Limited), our holding company and an exempted company with limited liability incorporated in the Cayman Islands, entered into a series of control agreements with our consolidated VIEs and their respective shareholders, including our four principal consolidated VIEs established and operating in the U.S. and the U.K., namely GIGA CLOUD LOGISTICS INC, B.T.M TRAVEL AND TRADING LTD, COMHARBOR LIMITED and BRIHOME LIMITED. We entered into contractual arrangements with our principal consolidated VIEs because we needed to expeditiously set up our business in overseas market with minimized administrative constraints to capture market opportunities. In certain instances, the contractual arrangements provided us with potentially the flexibility to conduct business activities that could be subjected to restrictions on foreign investment. For example, the PRC government had imposed foreign ownership restriction and the licensing and permit requirements for companies in the industry of telecommunications service, and we had a consolidated VIE set up initially in mainland China from 2018 to 2020. To our knowledge, our subsidiaries and consolidated VIEs are not conducting business activities that are subject to restrictions on foreign</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investment. We launched our GigaCloud Marketplace under our Hong Kong Subsidiary, GigaCloud Technology (HongKong) Limited (formerly known as Giga Cloud Logistics (Hong Kong) Limited) in 2019. As our business scale in the overseas markets continued to grow and in anticipation of this offering, we began to restructure our non-principal VIEs into wholly-owned subsidiaries. From 2018 to 2020, we had one consolidated VIE in mainland China, namely Suzhou GigaCloud, and in February 2021, we entered into a termination agreement with Suzhou GigaCloud to terminate the control agreement with respect to Suzhou GigaCloud, and in February 2021, GigaCloud Technology (Suzhou) Co., Ltd. (formerly known as Oriental Standard Network Technology (Suzhou) Co., Ltd.) acquired 100% of the equity interest in Suzhou GigaCloud which then became our indirect wholly-owned subsidiary in mainland China and we do not currently have any VIE in mainland China. We intend to continue our corporate restructuring. To the extent permissible by applicable laws and without the potential for disruptions to our operations, we will obtain direct ownership in all of the VIEs that are currently effective and we intend to complete our corporate restructuring within 12 months after the completion of this offering. As of the date of this prospectus, we conduct our business operations across 13 subsidiaries and seven consolidated VIEs, among those, eight of which are our principal subsidiaries and four of which are our principal consolidated VIEs.</w:t>
      </w:r>
    </w:p>
    <w:p>
      <w:pPr>
        <w:spacing w:after="0" w:line="172" w:lineRule="exact"/>
        <w:rPr>
          <w:sz w:val="20"/>
          <w:szCs w:val="20"/>
          <w:color w:val="auto"/>
        </w:rPr>
      </w:pPr>
    </w:p>
    <w:p>
      <w:pPr>
        <w:ind w:left="300" w:right="240" w:firstLine="852"/>
        <w:spacing w:after="0" w:line="257" w:lineRule="auto"/>
        <w:rPr>
          <w:sz w:val="20"/>
          <w:szCs w:val="20"/>
          <w:color w:val="auto"/>
        </w:rPr>
      </w:pPr>
      <w:r>
        <w:rPr>
          <w:rFonts w:ascii="Arial" w:cs="Arial" w:eastAsia="Arial" w:hAnsi="Arial"/>
          <w:sz w:val="18"/>
          <w:szCs w:val="18"/>
          <w:color w:val="auto"/>
        </w:rPr>
        <w:t>All of our consolidated VIEs contributed an aggregate of 14.2%, 8.4%, 10.7% and 9.6% to our total assets as of December 31, 2019, 2020 and 2021 and March 31, 2022, respectively. All of our consolidated VIEs contributed an aggregate of 13.6%, 12.9%, 11.5%, 10.3% and 12.0% to our revenues in 2019, 2020, 2021 and the three months ended March 31, 2021 and 2022, respectively. See “Corporate History and Structure—Contractual Arrangements with Our Consolidated VIEs and their Shareholders” and our consolidated financial statements and the related notes included elsewhere in this prospectus.</w:t>
      </w:r>
    </w:p>
    <w:p>
      <w:pPr>
        <w:spacing w:after="0" w:line="188" w:lineRule="exact"/>
        <w:rPr>
          <w:sz w:val="20"/>
          <w:szCs w:val="20"/>
          <w:color w:val="auto"/>
        </w:rPr>
      </w:pPr>
    </w:p>
    <w:p>
      <w:pPr>
        <w:jc w:val="both"/>
        <w:ind w:left="300" w:right="60" w:firstLine="852"/>
        <w:spacing w:after="0" w:line="263" w:lineRule="auto"/>
        <w:rPr>
          <w:sz w:val="20"/>
          <w:szCs w:val="20"/>
          <w:color w:val="auto"/>
        </w:rPr>
      </w:pPr>
      <w:r>
        <w:rPr>
          <w:rFonts w:ascii="Arial" w:cs="Arial" w:eastAsia="Arial" w:hAnsi="Arial"/>
          <w:sz w:val="18"/>
          <w:szCs w:val="18"/>
          <w:color w:val="auto"/>
        </w:rPr>
        <w:t>For a more detailed description of our corporate history and structure, see “Corporate History and Structure.” For a detailed description of the risks associated with our corporate structure and the contractual arrangements that support our corporate structure, see “Risk Factors—Risks Related to Our Corporate Structure.”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300" w:right="140" w:firstLine="852"/>
        <w:spacing w:after="0" w:line="257" w:lineRule="auto"/>
        <w:rPr>
          <w:sz w:val="20"/>
          <w:szCs w:val="20"/>
          <w:color w:val="auto"/>
        </w:rPr>
      </w:pPr>
      <w:r>
        <w:rPr>
          <w:rFonts w:ascii="Arial" w:cs="Arial" w:eastAsia="Arial" w:hAnsi="Arial"/>
          <w:sz w:val="18"/>
          <w:szCs w:val="18"/>
          <w:color w:val="auto"/>
        </w:rPr>
        <w:t>An investment in our Class A ordinary shares is subject to a number of risks, including risks related to our business and industry, risks related to our corporate structure, risks related to doing business in China and risks related to our Class A ordinary shares and this offering. You should carefully consider all of the information in this prospectus before making an investment in our Class A ordinary shares. The following list summarizes some, but not all, of these risks. Please read the information in the section entitled “Risk Factors” for a more thorough description of these and other risks.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52" w:lineRule="exact"/>
        <w:rPr>
          <w:sz w:val="20"/>
          <w:szCs w:val="20"/>
          <w:color w:val="auto"/>
        </w:rPr>
      </w:pPr>
    </w:p>
    <w:p>
      <w:pPr>
        <w:ind w:left="1540" w:right="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 economic conditions and their impact on the ecommerce industry, particularly for large parcel merchandise, could adversely impact our operating results.</w:t>
      </w:r>
    </w:p>
    <w:p>
      <w:pPr>
        <w:spacing w:after="0" w:line="197" w:lineRule="exact"/>
        <w:rPr>
          <w:rFonts w:ascii="Arial" w:cs="Arial" w:eastAsia="Arial" w:hAnsi="Arial"/>
          <w:sz w:val="18"/>
          <w:szCs w:val="18"/>
          <w:color w:val="auto"/>
        </w:rPr>
      </w:pPr>
    </w:p>
    <w:p>
      <w:pPr>
        <w:ind w:left="1540" w:right="24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historical growth rates and performance may not be sustainable or indicative of our future growth and financial results. We cannot guarantee that we will be able to maintain the growth rate we have experienced to date.</w:t>
      </w:r>
    </w:p>
    <w:p>
      <w:pPr>
        <w:spacing w:after="0" w:line="197" w:lineRule="exact"/>
        <w:rPr>
          <w:rFonts w:ascii="Arial" w:cs="Arial" w:eastAsia="Arial" w:hAnsi="Arial"/>
          <w:sz w:val="18"/>
          <w:szCs w:val="18"/>
          <w:color w:val="auto"/>
        </w:rPr>
      </w:pPr>
    </w:p>
    <w:p>
      <w:pPr>
        <w:ind w:left="1540" w:right="8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interruptions that impair access to our GigaCloud Marketplace, or other performance failures in our technology infrastructure, could damage our reputation and results of operations.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international operations are subject to a variety of legal, regulatory, political and economic risks.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22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922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40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maintain and expand our relationships with third-party platforms and sellers and buyers in our marketplace, our revenues and results of operations will be harmed.</w:t>
      </w:r>
    </w:p>
    <w:p>
      <w:pPr>
        <w:spacing w:after="0" w:line="197" w:lineRule="exact"/>
        <w:rPr>
          <w:rFonts w:ascii="Arial" w:cs="Arial" w:eastAsia="Arial" w:hAnsi="Arial"/>
          <w:sz w:val="18"/>
          <w:szCs w:val="18"/>
          <w:color w:val="auto"/>
        </w:rPr>
      </w:pPr>
    </w:p>
    <w:p>
      <w:pPr>
        <w:ind w:left="1540" w:right="50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the manufacturers of the products we sell as our own inventory could materially adversely affect our financial performance as well as our reputation and brand.</w:t>
      </w:r>
    </w:p>
    <w:p>
      <w:pPr>
        <w:spacing w:after="0" w:line="197" w:lineRule="exact"/>
        <w:rPr>
          <w:rFonts w:ascii="Arial" w:cs="Arial" w:eastAsia="Arial" w:hAnsi="Arial"/>
          <w:sz w:val="18"/>
          <w:szCs w:val="18"/>
          <w:color w:val="auto"/>
        </w:rPr>
      </w:pPr>
    </w:p>
    <w:p>
      <w:pPr>
        <w:ind w:left="1540" w:right="1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inventory effectively, our results of operations, financial condition and liquidity may be materially and adversely affected.</w:t>
      </w:r>
    </w:p>
    <w:p>
      <w:pPr>
        <w:spacing w:after="0" w:line="197" w:lineRule="exact"/>
        <w:rPr>
          <w:rFonts w:ascii="Arial" w:cs="Arial" w:eastAsia="Arial" w:hAnsi="Arial"/>
          <w:sz w:val="18"/>
          <w:szCs w:val="18"/>
          <w:color w:val="auto"/>
        </w:rPr>
      </w:pPr>
    </w:p>
    <w:p>
      <w:pPr>
        <w:ind w:left="1540" w:right="40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our relationships with third-parties, including third-party carriers, and changes in our relationships with these parties could adversely impact our revenues and profits.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optimizing our warehouses and fulfillment network.</w:t>
      </w:r>
    </w:p>
    <w:p>
      <w:pPr>
        <w:spacing w:after="0" w:line="252" w:lineRule="exact"/>
        <w:rPr>
          <w:rFonts w:ascii="Arial" w:cs="Arial" w:eastAsia="Arial" w:hAnsi="Arial"/>
          <w:sz w:val="18"/>
          <w:szCs w:val="18"/>
          <w:color w:val="auto"/>
        </w:rPr>
      </w:pPr>
    </w:p>
    <w:p>
      <w:pPr>
        <w:ind w:left="1540" w:right="2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brand image could have a material adverse effect on our growth strategy and our business, financial condition, results of operations and prospects.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launch new products or services may not be successful.</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could materially and adversely impact our business.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Corporate Structure</w:t>
      </w:r>
    </w:p>
    <w:p>
      <w:pPr>
        <w:spacing w:after="0" w:line="252" w:lineRule="exact"/>
        <w:rPr>
          <w:sz w:val="20"/>
          <w:szCs w:val="20"/>
          <w:color w:val="auto"/>
        </w:rPr>
      </w:pPr>
    </w:p>
    <w:p>
      <w:pPr>
        <w:ind w:left="1540" w:right="100" w:hanging="297"/>
        <w:spacing w:after="0" w:line="308"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contractual arrangements with our consolidated VIEs and their shareholders for a portion of our business operations. These arrangements may not be as effective as direct ownership in providing operational control.</w:t>
      </w:r>
    </w:p>
    <w:p>
      <w:pPr>
        <w:spacing w:after="0" w:line="173" w:lineRule="exact"/>
        <w:rPr>
          <w:rFonts w:ascii="Arial" w:cs="Arial" w:eastAsia="Arial" w:hAnsi="Arial"/>
          <w:sz w:val="17"/>
          <w:szCs w:val="17"/>
          <w:color w:val="auto"/>
        </w:rPr>
      </w:pPr>
    </w:p>
    <w:p>
      <w:pPr>
        <w:ind w:left="1540" w:right="140" w:hanging="297"/>
        <w:spacing w:after="0" w:line="308"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strategic decision to enter into contractual arrangements with our consolidated VIEs and their shareholders may subject the beneficiaries of the consolidated VIEs to greater uncertainty as to the legality of their share ownership.</w:t>
      </w:r>
    </w:p>
    <w:p>
      <w:pPr>
        <w:spacing w:after="0" w:line="173" w:lineRule="exact"/>
        <w:rPr>
          <w:rFonts w:ascii="Arial" w:cs="Arial" w:eastAsia="Arial" w:hAnsi="Arial"/>
          <w:sz w:val="17"/>
          <w:szCs w:val="17"/>
          <w:color w:val="auto"/>
        </w:rPr>
      </w:pPr>
    </w:p>
    <w:p>
      <w:pPr>
        <w:ind w:left="1540" w:right="38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by our consolidated VIEs or their shareholders to perform their obligations under such contractual arrangements would have a material and adverse effect on our business.</w:t>
      </w:r>
    </w:p>
    <w:p>
      <w:pPr>
        <w:spacing w:after="0" w:line="197" w:lineRule="exact"/>
        <w:rPr>
          <w:rFonts w:ascii="Arial" w:cs="Arial" w:eastAsia="Arial" w:hAnsi="Arial"/>
          <w:sz w:val="18"/>
          <w:szCs w:val="18"/>
          <w:color w:val="auto"/>
        </w:rPr>
      </w:pPr>
    </w:p>
    <w:p>
      <w:pPr>
        <w:ind w:left="1540" w:right="160" w:hanging="297"/>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lose the ability to use, or otherwise benefit from, the assets held, or the services provided by our consolidated VIEs, which could severely disrupt our business, render us unable to conduct some or all of our business operations and constrain our growth.</w:t>
      </w:r>
    </w:p>
    <w:p>
      <w:pPr>
        <w:spacing w:after="0" w:line="210"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Doing Business in China</w:t>
      </w:r>
    </w:p>
    <w:p>
      <w:pPr>
        <w:spacing w:after="0" w:line="252" w:lineRule="exact"/>
        <w:rPr>
          <w:sz w:val="20"/>
          <w:szCs w:val="20"/>
          <w:color w:val="auto"/>
        </w:rPr>
      </w:pPr>
    </w:p>
    <w:p>
      <w:pPr>
        <w:ind w:left="154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“Risk Factors—Risks Related to Doing Business in China—We could be adversely affected by political tensions between the U.S. and the PRC.”</w:t>
      </w:r>
    </w:p>
    <w:p>
      <w:pPr>
        <w:spacing w:after="0" w:line="197" w:lineRule="exact"/>
        <w:rPr>
          <w:rFonts w:ascii="Arial" w:cs="Arial" w:eastAsia="Arial" w:hAnsi="Arial"/>
          <w:sz w:val="18"/>
          <w:szCs w:val="18"/>
          <w:color w:val="auto"/>
        </w:rPr>
      </w:pPr>
    </w:p>
    <w:p>
      <w:pPr>
        <w:ind w:left="1540" w:right="8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“Risk Factors—Risks Related to Doing Business in China—Changes in the political and economic policies of the PRC government may materially and adversely affect our business, financial condition and results of operations and may result in our inability to sustain our growth and expansion strategies.”</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9"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40" w:hanging="297"/>
        <w:spacing w:after="0" w:line="271"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uncertainties regarding the PRC legal system, including risks and uncertainties regarding the enforcement of laws, as well as the PRC’s extension of authority into Hong Kong, and that rules and regulations in the PRC can change quickly with little advance notice. The PRC has not developed a fully integrated legal system, and recently enacted laws, rules and regulations may not sufficiently cover all aspects of economic activities in the PRC or may be subject to significant degrees of interpretation by PRC regulatory agencies. Because the PRC laws, rules and regulations often give the relevant regulator significant discretion in how to enforce them, the interpretation and enforcement of these laws, rules and regulations involve uncertainties and can be inconsistent and unpredictable. See “Risk Factors—Risks Related to Doing Business in China—There are uncertainties regarding the PRC legal system.”</w:t>
      </w:r>
    </w:p>
    <w:p>
      <w:pPr>
        <w:spacing w:after="0" w:line="205" w:lineRule="exact"/>
        <w:rPr>
          <w:rFonts w:ascii="Arial" w:cs="Arial" w:eastAsia="Arial" w:hAnsi="Arial"/>
          <w:sz w:val="17"/>
          <w:szCs w:val="17"/>
          <w:color w:val="auto"/>
        </w:rPr>
      </w:pPr>
    </w:p>
    <w:p>
      <w:pPr>
        <w:ind w:left="1540" w:right="60" w:hanging="297"/>
        <w:spacing w:after="0" w:line="25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“Risk Factors—Risks Related to Doing Business in China—The PRC government may exert more control over offerings conducted overseas and/or foreign investment in mainland China- and Hong Kong-based issuers, may exercise significant oversight and discretion over a company’s ability to conduct business in mainland China and Hong Kong and may intervene in or influence our operations at any time, which could result in a material change in our operations and/or the value of the securities we are registering for sale.”</w:t>
      </w:r>
    </w:p>
    <w:p>
      <w:pPr>
        <w:spacing w:after="0" w:line="214" w:lineRule="exact"/>
        <w:rPr>
          <w:rFonts w:ascii="Arial" w:cs="Arial" w:eastAsia="Arial" w:hAnsi="Arial"/>
          <w:sz w:val="18"/>
          <w:szCs w:val="18"/>
          <w:color w:val="auto"/>
        </w:rPr>
      </w:pPr>
    </w:p>
    <w:p>
      <w:pPr>
        <w:ind w:left="1540" w:hanging="297"/>
        <w:spacing w:after="0" w:line="285"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operate our GigaCloud Marketplace through our Hong Kong Subsidiary. If the PRC government were to extend its oversight into companies in Hong Kong, our Hong Kong Subsidiary may be subject to additional regulations which could have a material effect on our business operations. In light of recent statements and regulatory actions by the PRC government related to the PRC’s extension of authority into Hong Kong, there is risk that the PRC government may intervene or influence our operations in Hong Kong, as our operations in Hong Kong are subject to political and economic influence from the PRC government. Our Hong Kong Subsidiary may be subject to direct intervention or influence from the PRC government in the future due to changes in laws or other unforeseeable reasons. If our Hong Kong Subsidiary were to become subject to direct intervention or influence of the PRC government, our Hong Kong Subsidiary may be required to obtain licenses for the operation of our ecommerce platform GigaCloud Marketplace and be subject to regulations restricting or prohibiting foreign ownership. Such risks could impact our ability to conduct our business, accept foreign investments, or list on a U.S. or other foreign exchange, result in a material change in our operations and/or the value of our Class A ordinary shares or could significantly limit or completely hinder our ability to offer or continue to offer Class A ordinary shares and/or other securities to investors and cause the value of the securities we are registering for sale to significantly decline or be worthless. See “Risk Factors—Risks Related to Doing Business in China—We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1540" w:hanging="297"/>
        <w:spacing w:after="0" w:line="311"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“Risk Factors—Risks Related to Doing Business in China—Implementation of the Law of the PRC on Safeguarding National Security in Hong Kong involves uncertainty, and the recent policy pronouncements by the PRC government regarding business activities of U.S.-listed PRC businesses may negatively impact GigaCloud Group’s existing and future operations in Hong Kong.”</w:t>
      </w:r>
    </w:p>
    <w:p>
      <w:pPr>
        <w:spacing w:after="0" w:line="175" w:lineRule="exact"/>
        <w:rPr>
          <w:rFonts w:ascii="Arial" w:cs="Arial" w:eastAsia="Arial" w:hAnsi="Arial"/>
          <w:sz w:val="16"/>
          <w:szCs w:val="16"/>
          <w:color w:val="auto"/>
        </w:rPr>
      </w:pPr>
    </w:p>
    <w:p>
      <w:pPr>
        <w:ind w:left="1540" w:right="40" w:hanging="297"/>
        <w:spacing w:after="0" w:line="311" w:lineRule="auto"/>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“Risk Factors—Risks Related to Doing Business in China—The approval or other administration requirements of the China Securities Regulatory Commission, or the CSRC, or other PRC governmental authorities, may be required in connection with this offering under a PRC regulation or any new laws, rules or regulations to be enacted, and if required, we cannot assure you</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80"/>
        <w:spacing w:after="0" w:line="277" w:lineRule="auto"/>
        <w:rPr>
          <w:sz w:val="20"/>
          <w:szCs w:val="20"/>
          <w:color w:val="auto"/>
        </w:rPr>
      </w:pPr>
      <w:r>
        <w:rPr>
          <w:rFonts w:ascii="Arial" w:cs="Arial" w:eastAsia="Arial" w:hAnsi="Arial"/>
          <w:sz w:val="18"/>
          <w:szCs w:val="18"/>
          <w:color w:val="auto"/>
        </w:rPr>
        <w:t>that we will be able to obtain such approval. The regulation also establishes more complex procedures for acquisitions conducted by foreign investors that could make it more difficult for us to grow through acquisitions.”</w:t>
      </w:r>
    </w:p>
    <w:p>
      <w:pPr>
        <w:spacing w:after="0" w:line="197" w:lineRule="exact"/>
        <w:rPr>
          <w:sz w:val="20"/>
          <w:szCs w:val="20"/>
          <w:color w:val="auto"/>
        </w:rPr>
      </w:pPr>
    </w:p>
    <w:p>
      <w:pPr>
        <w:ind w:left="1540" w:right="40" w:hanging="297"/>
        <w:spacing w:after="0" w:line="255"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“Risk Factors—Risks Related to Doing Business in China—The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 completely hinder our ability to offer or continue to offer our ordinary shares to investors and could cause the value of our ordinary shares to significantly decline or become worthless.”</w:t>
      </w:r>
    </w:p>
    <w:p>
      <w:pPr>
        <w:spacing w:after="0" w:line="219" w:lineRule="exact"/>
        <w:rPr>
          <w:rFonts w:ascii="Arial" w:cs="Arial" w:eastAsia="Arial" w:hAnsi="Arial"/>
          <w:sz w:val="18"/>
          <w:szCs w:val="18"/>
          <w:color w:val="auto"/>
        </w:rPr>
      </w:pPr>
    </w:p>
    <w:p>
      <w:pPr>
        <w:ind w:left="1540" w:right="160" w:hanging="297"/>
        <w:spacing w:after="0" w:line="263"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“Risk Factors—Risks Related to Doing Business in China—Recent litigation and negative publicity surrounding companies listed in the U.S. with operations in the PRC may result in increased regulatory scrutiny of us and negatively impact the trading price of our Class A ordinary shares.”</w:t>
      </w:r>
    </w:p>
    <w:p>
      <w:pPr>
        <w:spacing w:after="0" w:line="210" w:lineRule="exact"/>
        <w:rPr>
          <w:rFonts w:ascii="Arial" w:cs="Arial" w:eastAsia="Arial" w:hAnsi="Arial"/>
          <w:sz w:val="18"/>
          <w:szCs w:val="18"/>
          <w:color w:val="auto"/>
        </w:rPr>
      </w:pPr>
    </w:p>
    <w:p>
      <w:pPr>
        <w:ind w:left="1540" w:right="20" w:hanging="297"/>
        <w:spacing w:after="0" w:line="29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a holding company and we conduct our operations through our principal subsidiaries and principal consolidated VIEs. Our corporate structure and having operations in Hong Kong and mainland China involve liquidity risks to investors as our ability to use the proceeds from this offering to make loans or additional capital contributions to our PRC Subsidiaries and Hong Kong Subsidiary may be restricted. See “Risk Factors—Risks Related to Doing Business in China—PRC regulation of loans to, and direct investments in, PRC entities by offshore holding companies and governmental control of currency conversion may restrict or prevent us from using the proceeds of this offering to make loans or additional capital contributions to our PRC Subsidiaries, which could materially and adversely affect our liquidity and our ability to fund and expand our business.”</w:t>
      </w:r>
    </w:p>
    <w:p>
      <w:pPr>
        <w:spacing w:after="0" w:line="193" w:lineRule="exact"/>
        <w:rPr>
          <w:rFonts w:ascii="Arial" w:cs="Arial" w:eastAsia="Arial" w:hAnsi="Arial"/>
          <w:sz w:val="16"/>
          <w:szCs w:val="16"/>
          <w:color w:val="auto"/>
        </w:rPr>
      </w:pPr>
    </w:p>
    <w:p>
      <w:pPr>
        <w:ind w:left="1540" w:hanging="297"/>
        <w:spacing w:after="0" w:line="268"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assets by the PRC government.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GigaCloud Group’s ability to transfer or distribute cash within its organization, which could result in an inability or prohibition on making transfers or distributions to entities outside of mainland China and Hong Kong and adversely affect its business. See “Risk Factors—Risks Related to Doing Business in China —Governmental control of currency conversion may limit our ability to utilize our revenues, transfer or distribute cash within our group effectively and affect the value of your investment.”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Class A Ordinary Shares and this Offering</w:t>
      </w:r>
    </w:p>
    <w:p>
      <w:pPr>
        <w:spacing w:after="0" w:line="252" w:lineRule="exact"/>
        <w:rPr>
          <w:sz w:val="20"/>
          <w:szCs w:val="20"/>
          <w:color w:val="auto"/>
        </w:rPr>
      </w:pPr>
    </w:p>
    <w:p>
      <w:pPr>
        <w:ind w:left="154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ordinary shares may not develop, and you may not be able to resell the shares at or above the public offering price.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24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trading price of our Class A ordinary shares could be highly volatile, and purchasers of our Class A ordinary shares could incur substantial losses.</w:t>
      </w:r>
    </w:p>
    <w:p>
      <w:pPr>
        <w:spacing w:after="0" w:line="197" w:lineRule="exact"/>
        <w:rPr>
          <w:rFonts w:ascii="Arial" w:cs="Arial" w:eastAsia="Arial" w:hAnsi="Arial"/>
          <w:sz w:val="18"/>
          <w:szCs w:val="18"/>
          <w:color w:val="auto"/>
        </w:rPr>
      </w:pPr>
    </w:p>
    <w:p>
      <w:pPr>
        <w:ind w:left="1540" w:right="4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foreign private issuer, we are not subject to certain U.S. securities law disclosure requirements that apply to a domestic U.S. issuer, which may limit the information publicly available to our shareholders.</w:t>
      </w:r>
    </w:p>
    <w:p>
      <w:pPr>
        <w:spacing w:after="0" w:line="197" w:lineRule="exact"/>
        <w:rPr>
          <w:rFonts w:ascii="Arial" w:cs="Arial" w:eastAsia="Arial" w:hAnsi="Arial"/>
          <w:sz w:val="18"/>
          <w:szCs w:val="18"/>
          <w:color w:val="auto"/>
        </w:rPr>
      </w:pPr>
    </w:p>
    <w:p>
      <w:pPr>
        <w:ind w:left="1540" w:right="60" w:hanging="297"/>
        <w:spacing w:after="0" w:line="273" w:lineRule="auto"/>
        <w:tabs>
          <w:tab w:leader="none" w:pos="1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Class A ordinary shares may be delisted under the HFCA Act if the PCAOB is unable to inspect auditors who are located in China and if we fail to implement measures to enable PCAOB’s inspection of our auditor. The delisting of our Class A ordinary shares, or the threat of their being delisted, may materially and adversely affect the value of your investment. Additionally, the inability of the PCAOB to conduct inspections deprives our investors of the benefits of such inspections. Since our auditor is located in China, a jurisdiction where the PCAOB has been unable to conduct inspections without the approval of the Chinese authorities, our auditor is currently not inspected by the PCAOB.</w:t>
      </w:r>
    </w:p>
    <w:p>
      <w:pPr>
        <w:spacing w:after="0" w:line="204" w:lineRule="exact"/>
        <w:rPr>
          <w:rFonts w:ascii="Arial" w:cs="Arial" w:eastAsia="Arial" w:hAnsi="Arial"/>
          <w:sz w:val="17"/>
          <w:szCs w:val="17"/>
          <w:color w:val="auto"/>
        </w:rPr>
      </w:pPr>
    </w:p>
    <w:p>
      <w:pPr>
        <w:ind w:left="1540" w:right="180" w:hanging="297"/>
        <w:spacing w:after="0" w:line="308" w:lineRule="auto"/>
        <w:tabs>
          <w:tab w:leader="none" w:pos="1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73" w:lineRule="exact"/>
        <w:rPr>
          <w:rFonts w:ascii="Arial" w:cs="Arial" w:eastAsia="Arial" w:hAnsi="Arial"/>
          <w:sz w:val="17"/>
          <w:szCs w:val="17"/>
          <w:color w:val="auto"/>
        </w:rPr>
      </w:pPr>
    </w:p>
    <w:p>
      <w:pPr>
        <w:ind w:left="1540" w:right="22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dual-class voting structure may render our Class A ordinary shares ineligible for inclusion in certain stock market indices, and thus adversely affect the trading price and liquidity of our Class A ordinary shares.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Regulatory Development</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Cybersecurity Measures and Potential CSRC Filing For Overseas Listing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On July 10, 2021, the CAC issued a revised draft of the Measures for Cybersecurity Review for public comments, which required that,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addition to “operator of critical information infrastructure,” any “data processor” carrying out data processing activities that affect or may affect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national security should also be subject to cybersecurity review, and further elaborated the factors to be considered when assessing the national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security risks of the relevant activities. According to the revised draft Measures for Cybersecurity Review, any data processor who possesses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personal information of more than one million users must apply for a cybersecurity review if it seeks a listing in a foreign country. On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December 28, 2021, the Measures for Cybersecurity Review (2021 Version) were promulgated, which has become effective on February 15, 2022</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simultaneously replaced the Measures for Cybersecurity Review (2020 Version) in whole. Compared with the Measures for Cybersecurity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Review (2020 Version), the Measures for Cybersecurity Review (2021 Version) expanded the applicable scope of cybersecurity review, which,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consistent with the revised draft, further iterates that any “network platform operators” carrying out data processing activities that affect or may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affect national security should be subject to cybersecurity review and any network platform operator possessing personal information of more than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one million users which seeks to list in a foreign stock exchange should also be subject to cybersecurity review. On November 14, 2021, the CAC</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published the Regulations on Network Data Security Protection (Draft for Comments) for public comments, which reiterated that data processors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that process personal information of more than one million users listing in a foreign country should apply for a cybersecurity review. Due to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uncertainties in the interpretation of data processing activities that affect or may affect national security, in July 2021, we made an inquiry with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relevant local branch of the CAC regarding the interpretation of the revised draft Measures for Cybersecurity Review after the revised draft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Measures for Cybersecurity Review was released, and in March 2022, after the Measures for Cybersecurity Review (2021 Version) came into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effect, we made another inquiry with the China Cybersecurity Review Technology and Certification Center, or</w:t>
      </w: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320" w:top="459" w:right="7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the CCRC, regarding the interpretation of the Measures for Cybersecurity Review (2021 Version). Based on the description regarding our business operations and our marketplace, both the relevant local authority and the CCRC concurred with us that we are not required to go through a cybersecurity review with the CAC, because (i) our GigaCloud Marketplace is operated in Hong Kong under our Hong Kong Subsidiary with under one million users, and (ii) our GigaCloud Marketplace is a B2B ecommerce platform and any data we collected on our sellers and buyers are limited without any personal information. Based on the foregoing and also the advice of our PRC legal counsel, Han Kun Law Offices, we believe we, including our PRC Subsidiaries and our Hong Kong Subsidiary, are currently not required to go through a cybersecurity review with the CAC as of the date hereof. As of the date of this prospectus, we have also not been involved in any investigations on cybersecurity or data security initiated by related governmental regulatory authorities, and we have not received any inquiry, notice, warning, or sanction in such respect. However, as the Measures for Cybersecurity Review (2021 Version) were newly adopted, and the Regulations on Network Data Security Protection (Draft for Comments) have not been adopted, there remains uncertainty in the interpretation and enforcement of such PRC cybersecurity laws and regulations. Thus, we cannot assure you that we would not be subject to cybersecurity review requirement, and if so, that we would be able to pass such review in relation to this offering. Furthermore, we cannot guarantee that the relevant authority that we have inquired will be the authorized regulatory body to make a determination that we are not subject to the requirement of cybersecurity review. If any interpretation or implementation rules of the relevant PRC cybersecurity laws and regulations in future provide that certain other PRC regulatory body shall be authorized to make the final decision on cybersecurity review, there can be no assurance that the authorized PRC regulatory body would reach the same conclusion as the authority we have inquired. If the authorized PRC regulatory body subsequently determines that we are required to go through such cybersecurity review or if any other PRC government authorities promulgates any interpretation or implementation rules before our listing that would require us to go through a cybersecurity review for this offering, we may fail to complete such cybersecurity review procedures in a timely manner, or at all. Any failure or delay in the completion of the cybersecurity review procedures or any other non-compliance with the related laws and regulations may result in fines or other penalties, including suspension of business and website closure as well as reputational damage or legal proceedings or actions against us, which may have material adverse effect on our business, financial condition or results of operations.</w:t>
      </w:r>
    </w:p>
    <w:p>
      <w:pPr>
        <w:spacing w:after="0" w:line="180" w:lineRule="exact"/>
        <w:rPr>
          <w:sz w:val="20"/>
          <w:szCs w:val="20"/>
          <w:color w:val="auto"/>
        </w:rPr>
      </w:pPr>
    </w:p>
    <w:p>
      <w:pPr>
        <w:ind w:left="300" w:right="40" w:firstLine="852"/>
        <w:spacing w:after="0" w:line="267" w:lineRule="auto"/>
        <w:rPr>
          <w:sz w:val="20"/>
          <w:szCs w:val="20"/>
          <w:color w:val="auto"/>
        </w:rPr>
      </w:pPr>
      <w:r>
        <w:rPr>
          <w:rFonts w:ascii="Arial" w:cs="Arial" w:eastAsia="Arial" w:hAnsi="Arial"/>
          <w:sz w:val="17"/>
          <w:szCs w:val="17"/>
          <w:color w:val="auto"/>
        </w:rPr>
        <w:t>Furthermore, on December 24, 2021, the China Securities Regulatory Commission, or the CSRC, released the Administrative Provisions of the State Council Regarding the Overseas Issuance and Listing of Securities by Domestic Enterprises (Draft for Comments) and the Administrative Measures for the Record-filing of Overseas Issuance and Listing of Securities by Domestic Enterprises (Draft for Comments) (collectively, the “Draft Overseas Listing Rules”) for public comments, according to which, any direct or indirect offshore listing of domestic enterprises shall be filed with the CSRC. As none of our PRC Subsidiaries is the issuer of the securities we are registering, listing and offering in this offering, our PRC Subsidiaries are not “directly” offering and listing securities on an overseas market. The Draft Overseas Listing Rules stipulate that the determination as to whether a domestic company is indirectly offering and listing securities in an overseas market shall be made on a substance-over-form basis and if an issuer meets the following conditions, its overseas offering and listing shall be determined as an “indirect overseas offering and listing by a domestic enterprise”: (i) the operating revenue, total profits, total assets or net assets of the domestic enterprise in the most recent accounting year account for more than 50% of the corresponding figure in the issuer’s audited consolidated financial statements for the same period; (ii) most of the senior managers in charge of business operation and management are Chinese citizens or have habitual residences in mainland China, the principal operation premises are located in mainland China or the operation activities are mostly conducted in mainland China. Under such circumstance, the issuer shall fulfill the filing procedures within three working days after the issuer makes an application for initial public offering and listing in an overseas market. According to Relevant Officials of the CSRC Answered Reporter Questions on December 24, 2021, or the CSRC Answers, after the Draft Overseas Listing Rules are implemented upon completion of public consultation and due legislative procedures, the CSRC will formulate and issue guidance for filing procedures to further specify the details of filing administration and ensure that</w:t>
      </w:r>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market entities could refer to clear guidelines for filing, which means it still takes time for the Draft Overseas Listing Rules come into effect.</w:t>
      </w:r>
    </w:p>
    <w:p>
      <w:pPr>
        <w:spacing w:after="0" w:line="237" w:lineRule="exact"/>
        <w:rPr>
          <w:sz w:val="20"/>
          <w:szCs w:val="20"/>
          <w:color w:val="auto"/>
        </w:rPr>
      </w:pPr>
    </w:p>
    <w:p>
      <w:pPr>
        <w:ind w:left="300" w:firstLine="852"/>
        <w:spacing w:after="0" w:line="267" w:lineRule="auto"/>
        <w:rPr>
          <w:sz w:val="20"/>
          <w:szCs w:val="20"/>
          <w:color w:val="auto"/>
        </w:rPr>
      </w:pPr>
      <w:r>
        <w:rPr>
          <w:rFonts w:ascii="Arial" w:cs="Arial" w:eastAsia="Arial" w:hAnsi="Arial"/>
          <w:sz w:val="17"/>
          <w:szCs w:val="17"/>
          <w:color w:val="auto"/>
        </w:rPr>
        <w:t>As advised by our PRC legal counsel, based on its understanding of the Draft Overseas Listing Rules and the confirmation by us that (i) none of the operating revenue, total profits, total assets and net assets of our PRC Subsidiaries in the most recent accounting year accounted for more than 50% of the corresponding figure in our audited consolidated financial statements for the same period; and (ii) most of the senior managers in charge of business operation and management are not Chinese citizens or do not have habitual residences in mainland China (only one of the three executive officers is a PRC citizen and none of three executive officers have habitual residence located in mainland China), the principal operation premises are not located in mainland China and the operation activities are not mostly conducted in mainland China as our PRC Subsidiaries perform cost functions and internal operational functions, our PRC Subsidiaries do not generate revenue in mainland China, and all of our warehouses were located outside of the PRC, we believe that we, including our PRC Subsidiaries and our Hong Kong Subsidiary, will not be required to make a filing with the CSRC for this offering and listing under the Draft Overseas Listing Rules, if the Draft Overseas Listing Rules have been enacted before the completion of this offering and listing as they are currently released for comments. However, as the Draft Overseas Listing Rules have not been adopted, there remains uncertainty in the final form of and the enforcement of such overseas listing rules, and there can be no assurance that the relevant PRC governmental authorities, including the CSRC, would reach the same conclusion as us or our PRC legal counsel, or that the CSRC or any other PRC governmental authorities would not promulgate new rules or new interpretation of current rules to require us to obtain CSRC or other PRC governmental approvals for this offering. Furthermore, according to CSRC Answers, new initial public offerings and refinancing by existent overseas listed Chinese companies will firstly be required to go through the filing process; other existent overseas listed companies will be allowed sufficient transition period to complete their filing procedure, which means if we complete this offering prior to the effectiveness of the Draft Overseas Listing Rules, we may still be required to complete the filing process in the future, or be subject to additional compliance requirements in the future.</w:t>
      </w:r>
    </w:p>
    <w:p>
      <w:pPr>
        <w:spacing w:after="0" w:line="190"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If the final form of the Draft Overseas Listing Rules is enacted before the completion of this offering and the CSRC requires that we complete the filing procedure, the offering will be delayed until we have completed the CSRC filing procedure, which may take several months or longer. There is also the possibility that we may not be able to complete or maintain such filing or that we inadvertently concluded that such filing was not required. If CSRC filing was required as a prerequisite for this offering while we inadvertently concluded that such filing was not required or if applicable laws and regulations or the interpretation of such were modified to require us to obtain the CSRC filing in the future, we may face regulatory actions or other sanctions from the CSRC or other PRC regulatory authorities. Furthermore, if certain PRC laws and regulations, including existing laws and regulations and those enacted or promulgated in the future (such as the Draft Overseas Listing Rules), were to become applicable to our Hong Kong Subsidiary in the future, the application of such laws and regulations may have a material adverse impact on our business operations in Hong Kong. These authorities may impose fines and penalties upon our operations in mainland China and Hong Kong, delay or restrict the repatriation of the proceeds from this offering into mainland China and Hong Kong, and any failure of us to fully comply with such new regulatory requirements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The CSRC or other PRC regulatory agencies may also take actions requiring us, or making it advisable for us, to terminate this offering prior to the closing.</w:t>
      </w:r>
    </w:p>
    <w:p>
      <w:pPr>
        <w:spacing w:after="0" w:line="171" w:lineRule="exact"/>
        <w:rPr>
          <w:sz w:val="20"/>
          <w:szCs w:val="20"/>
          <w:color w:val="auto"/>
        </w:rPr>
      </w:pPr>
    </w:p>
    <w:p>
      <w:pPr>
        <w:ind w:left="300" w:right="340" w:firstLine="852"/>
        <w:spacing w:after="0" w:line="263" w:lineRule="auto"/>
        <w:rPr>
          <w:sz w:val="20"/>
          <w:szCs w:val="20"/>
          <w:color w:val="auto"/>
        </w:rPr>
      </w:pPr>
      <w:r>
        <w:rPr>
          <w:rFonts w:ascii="Arial" w:cs="Arial" w:eastAsia="Arial" w:hAnsi="Arial"/>
          <w:sz w:val="18"/>
          <w:szCs w:val="18"/>
          <w:color w:val="auto"/>
        </w:rPr>
        <w:t>In addition, the National Development and Reform Commission, or NDRC, and China’s Ministry of Commerce, or MOFCOM, promulgated the Measures for the Security Review of Foreign Investments, effective from January 18, 2021, which require foreign investors or relevant domestic parties to file a prior report before</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making a foreign investment if such investment involves, among others, military related industry, national defense security or taking control of an enterprise in a key industry that concerns national security, and if a foreign investment will or may affect national security, the relevant party shall report to the standing working office organized by NDRC and MOFCOM for their decision of whether to conduct security review. Based on the advice of our PRC legal counsel, Han Kun Law Offices, based on its understanding of the current PRC laws and regulations, we believe that we, our PRC Subsidiaries and our Hong Kong Subsidiary are currently not subject to such record-filing requirements with the NDRC and MOFCOM under the Measures for the Security Review of Foreign Investment, because we, including our PRC Subsidiaries and our Hong Kong Subsidiary, do not and will not have foreign investments that involve military related industry, national defense security or taking control of an enterprise in a key industry that concerns national security.</w:t>
      </w:r>
    </w:p>
    <w:p>
      <w:pPr>
        <w:spacing w:after="0" w:line="192" w:lineRule="exact"/>
        <w:rPr>
          <w:sz w:val="20"/>
          <w:szCs w:val="20"/>
          <w:color w:val="auto"/>
        </w:rPr>
      </w:pPr>
    </w:p>
    <w:p>
      <w:pPr>
        <w:jc w:val="both"/>
        <w:ind w:left="300" w:right="60" w:firstLine="852"/>
        <w:spacing w:after="0" w:line="287" w:lineRule="auto"/>
        <w:rPr>
          <w:sz w:val="20"/>
          <w:szCs w:val="20"/>
          <w:color w:val="auto"/>
        </w:rPr>
      </w:pPr>
      <w:r>
        <w:rPr>
          <w:rFonts w:ascii="Arial" w:cs="Arial" w:eastAsia="Arial" w:hAnsi="Arial"/>
          <w:sz w:val="16"/>
          <w:szCs w:val="16"/>
          <w:color w:val="auto"/>
        </w:rPr>
        <w:t>Pursuant to the Basic Law of the Hong Kong Special Administrative Region, or the Basic Law, which is a national law of the PRC and the constitutional document for Hong Kong, national laws of the PRC shall not be applied in Hong Kong except for those listed in Annex III of the Basic Law (which shall be confined to laws relating to defense and foreign affairs as well as other matters outside the autonomy of Hong Kong).</w:t>
      </w:r>
    </w:p>
    <w:p>
      <w:pPr>
        <w:spacing w:after="0" w:line="2" w:lineRule="exact"/>
        <w:rPr>
          <w:sz w:val="20"/>
          <w:szCs w:val="20"/>
          <w:color w:val="auto"/>
        </w:rPr>
      </w:pPr>
    </w:p>
    <w:p>
      <w:pPr>
        <w:jc w:val="both"/>
        <w:ind w:left="300" w:right="100"/>
        <w:spacing w:after="0" w:line="295" w:lineRule="auto"/>
        <w:rPr>
          <w:sz w:val="20"/>
          <w:szCs w:val="20"/>
          <w:color w:val="auto"/>
        </w:rPr>
      </w:pPr>
      <w:r>
        <w:rPr>
          <w:rFonts w:ascii="Arial" w:cs="Arial" w:eastAsia="Arial" w:hAnsi="Arial"/>
          <w:sz w:val="16"/>
          <w:szCs w:val="16"/>
          <w:color w:val="auto"/>
        </w:rPr>
        <w:t>Whilst the National People’s Congress of the PRC, or the NPC,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PRC Data Security Law, The Measures for Cybersecurity Review (2021 Version) and the Regulations on Network Data Security Protection (Draft for Comments) do not apply to our businesses in Hong Kong.</w:t>
      </w:r>
    </w:p>
    <w:p>
      <w:pPr>
        <w:spacing w:after="0" w:line="161" w:lineRule="exact"/>
        <w:rPr>
          <w:sz w:val="20"/>
          <w:szCs w:val="20"/>
          <w:color w:val="auto"/>
        </w:rPr>
      </w:pPr>
    </w:p>
    <w:p>
      <w:pPr>
        <w:ind w:left="300" w:right="40" w:firstLine="852"/>
        <w:spacing w:after="0" w:line="269" w:lineRule="auto"/>
        <w:rPr>
          <w:sz w:val="20"/>
          <w:szCs w:val="20"/>
          <w:color w:val="auto"/>
        </w:rPr>
      </w:pPr>
      <w:r>
        <w:rPr>
          <w:rFonts w:ascii="Arial" w:cs="Arial" w:eastAsia="Arial" w:hAnsi="Arial"/>
          <w:sz w:val="17"/>
          <w:szCs w:val="17"/>
          <w:color w:val="auto"/>
        </w:rPr>
        <w:t>On August 8, 2006, six PRC regulatory agencies, including MOFCOM, the State-Owned Assets Supervision and Administration Commission, the State Administration of Taxation, or SAT, the State Administration for Industry and Commerce, currently known as the SAMR, the CSRC, and the State Administration of Foreign Exchange, or the SAFE, jointly adopted the Regulations on Mergers and Acquisitions of Domestic Enterprises by Foreign Investors,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85" w:lineRule="exact"/>
        <w:rPr>
          <w:sz w:val="20"/>
          <w:szCs w:val="20"/>
          <w:color w:val="auto"/>
        </w:rPr>
      </w:pPr>
    </w:p>
    <w:p>
      <w:pPr>
        <w:ind w:left="300" w:right="20" w:firstLine="852"/>
        <w:spacing w:after="0" w:line="287" w:lineRule="auto"/>
        <w:rPr>
          <w:sz w:val="20"/>
          <w:szCs w:val="20"/>
          <w:color w:val="auto"/>
        </w:rPr>
      </w:pPr>
      <w:r>
        <w:rPr>
          <w:rFonts w:ascii="Arial" w:cs="Arial" w:eastAsia="Arial" w:hAnsi="Arial"/>
          <w:sz w:val="16"/>
          <w:szCs w:val="16"/>
          <w:color w:val="auto"/>
        </w:rPr>
        <w:t>We believe, based on the advice of our PRC legal counsel, Han Kun Law Offices, based on its understanding of the current PRC laws and regulations, that the CSRC approval under the M&amp;A Rules is not required in the context of this offering because the CSRC currently has not issued any definitive rule or interpretation concerning whether offerings such as this offering contemplated by our company are subject to the M&amp;A Rules and our wholly owned PRC Subsidiary, GigaCloud Technology (Suzhou) Co., Ltd., was established by foreign direct investment, rather than through a merger or acquisition of a domestic company as defined under the M&amp;A Rules. However, we have also been advised by our PRC legal counsel that there are uncertainties regarding the interpretation and application of the PRC law, and there can be no assurance that the relevant PRC government agencies, including the CSRC, would reach the same conclusion as our PRC legal counsel. If the CSRC or any other PRC regulatory body subsequently determines that we need to obtain the CSRC’s approval or any other regulatory approval for this offering or if the CSRC or any other PRC government authorities promulgates any new laws, rules, regulations or any interpretation or implementation rules before our listing that would require us to obtain CSRC or other governmental approvals for this offering, we may face adverse actions or sanctions by the CSRC or other PRC regulatory agencies for failure to seek approval for this offering.</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0" w:firstLine="852"/>
        <w:spacing w:after="0" w:line="287" w:lineRule="auto"/>
        <w:rPr>
          <w:sz w:val="20"/>
          <w:szCs w:val="20"/>
          <w:color w:val="auto"/>
        </w:rPr>
      </w:pPr>
      <w:r>
        <w:rPr>
          <w:rFonts w:ascii="Arial" w:cs="Arial" w:eastAsia="Arial" w:hAnsi="Arial"/>
          <w:sz w:val="16"/>
          <w:szCs w:val="16"/>
          <w:color w:val="auto"/>
        </w:rPr>
        <w:t>Based on the above (including our PRC legal counsel’s advice as stated above), as of the date of this prospectus, except as otherwise disclosed in this prospectus, we believe that we, including our PRC Subsidiaries and our Hong Kong Subsidiary, (i) are not required to submit an application to the CAC, CSRC or any other PRC authorities for the approval of this offering and to issue our ordinary shares to foreign investors,</w:t>
      </w:r>
    </w:p>
    <w:p>
      <w:pPr>
        <w:spacing w:after="0" w:line="2" w:lineRule="exact"/>
        <w:rPr>
          <w:sz w:val="20"/>
          <w:szCs w:val="20"/>
          <w:color w:val="auto"/>
        </w:rPr>
      </w:pPr>
    </w:p>
    <w:p>
      <w:pPr>
        <w:ind w:left="300" w:hanging="2"/>
        <w:spacing w:after="0" w:line="282" w:lineRule="auto"/>
        <w:tabs>
          <w:tab w:leader="none" w:pos="5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are not covered by permission requirements from the CSRC’s M&amp;A rules, CAC or other PRC authorities for the approval of this offering, (iii) have obtained all material requisite licenses and approvals necessary to operate in mainland China and Hong Kong, respectively, and no such licenses and approvals have been denied, and (iv) have not received any inquiry or notice or any objection to this offering from the CAC, the CSRC or any other PRC authorities that have jurisdiction over our operations in mainland China and Hong Kong. However, it is uncertain how PRC governmental authorities will regulate overseas listing in general and whether we are required to obtain any specific regulatory approvals or to fulfill any record-filing requirements. For example, recently, the General Office of the Central Committee of the Communist Party of China and the General Office of the State Council recently jointly promulgated the Opinions on Strictly Cracking Down on Illegal Securities Activities in Accordance with the Law which was made available to the public on July 6, 2021, or the Opinions on Strictly Cracking Down on Illegal Securities Activities. The Opinions on Strictly Cracking Down on Illegal Securities Activities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companies with operations in the PRC, and cybersecurity and data privacy protection requirements and similar matters. The Opinions on Strictly Cracking Down on Illegal Securities Activities and any related implementing rules to be enacted may subject us to compliance requirement in the future. Given the current regulatory environment in the PRC, we are still subject to the uncertainty of interpretation and enforcement of the rules and regulations in the PRC, which can change quickly with little advance notice, and any future actions of the PRC authorities could result in a material change in our operations, significantly limit or completely hinder our ability to offer or continue to offer securities to investors and cause the value of the securities we are registering for sale to significantly decline or in extreme cases, become worthless. It is uncertain when and whether the Company will be required to obtain permission from the PRC government to list on U.S. exchanges, and even if such permission is obtained, whether it will be denied or rescinded. As a result, our operations could be adversely affected, directly or indirectly, by existing or future laws and regulations relating to our business or industry. Furthermore, if we, including our PRC Subsidiaries and Hong Kong Subsidiary, (i) do not receive or maintain any required approvals or record-filing or (ii) inadvertently conclude that approvals or record-filing are not required, or (iii) if the CAC, the CSRC or other regulatory agencies promulgate new rules, explanations or interpretations requiring that we shall obtain their prior approvals or ex-post record-filing for this offering and any follow-on offering in the future, we may be unable to obtain such approvals and record-filing timely, or at all, which could significantly limit or completely hinder our ability to offer or continue to offer our ordinary shares to investors and could cause the value of our ordinary shares to significantly decline or become worthless. See “Risk Factors—Risks Related to Doing Business in China—The approval or other administration requirements of the China Securities Regulatory Commission, or the CSRC, or other PRC governmental authorities, may be required in connection with this offering under a PRC regulation or any new laws, rules or regulations to be enacted, and if required, we cannot assure you that we will be able to obtain such approval. The regulation also establishes more complex procedures for acquisitions conducted by foreign investors that could make it more difficult for us to grow through acquisitions,” “Risk Factors—Risks Related to Doing Business in China—The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 completely hinder our ability to offer or continue to offer our ordinary shares to investors and could cause the value of our ordinary shares to significantly decline or become worthless” and “Risk Factors—Risks Related to Our Business and Industry—We are subject to stringent and changing privacy laws, regulations and standards as well as contractual obligations related to data privacy and security. Our actual or perceived failure to comply with such</w:t>
      </w: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obligations could harm our reputation, subject us to significant fines and liability, or otherwise adversely affect our business or prospects.”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Holding Foreign Companies Accountable Act</w:t>
      </w:r>
    </w:p>
    <w:p>
      <w:pPr>
        <w:spacing w:after="0" w:line="225" w:lineRule="exact"/>
        <w:rPr>
          <w:sz w:val="20"/>
          <w:szCs w:val="20"/>
          <w:color w:val="auto"/>
        </w:rPr>
      </w:pPr>
    </w:p>
    <w:p>
      <w:pPr>
        <w:ind w:left="300" w:right="100" w:firstLine="852"/>
        <w:spacing w:after="0" w:line="275" w:lineRule="auto"/>
        <w:rPr>
          <w:sz w:val="20"/>
          <w:szCs w:val="20"/>
          <w:color w:val="auto"/>
        </w:rPr>
      </w:pPr>
      <w:r>
        <w:rPr>
          <w:rFonts w:ascii="Arial" w:cs="Arial" w:eastAsia="Arial" w:hAnsi="Arial"/>
          <w:sz w:val="17"/>
          <w:szCs w:val="17"/>
          <w:color w:val="auto"/>
        </w:rPr>
        <w:t>On December 2, 2021, the SEC adopted amendments to finalize rules implementing the submission and disclosure requirements in the HFCA Act. The rules apply to registrants the SEC identifies as having filed an annual report with an audit report issued by a registered public accounting firm that is located in a foreign jurisdiction and that the PCAOB is unable to inspect or investigate, or the Commission-Identified Issuers. The final amendments require Commission-Identified Issuers to submit documentation to the SEC establishing that it is not owned or controlled by a governmental entity in the public accounting firm’s foreign jurisdiction.</w:t>
      </w:r>
    </w:p>
    <w:p>
      <w:pPr>
        <w:spacing w:after="0" w:line="176"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Furthermore, on June 22, 2021, the U.S. Senate passed the Accelerating Holding Foreign Companies Accountable Act, which, if enacted into law would amend the HFCA Act and require the SEC to prohibit an issuer’s securities from trading on U.S. stock exchanges if its auditor is not subject to PCAOB inspections for two consecutive “non-inspection” years instead of three, and therefore reducing the time before our securities may be prohibited from trading on the Nasdaq or other U.S. stock exchanges, and this ultimately could result in our Class A ordinary shares being delisted.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 On December 16, 2021, the PCAOB issued a report on its determinations that the PCAOB is unable to inspect or investigate completely PCAOB-registered public accounting firms headquartered in mainland China and Hong Kong, because of positions taken by PRC authorities in these jurisdictions. The PCAOB included in its report a list of registered public accounting firms headquartered in mainland China and Hong Kong that the PCAOB is unable to inspect or investigate completely, including our auditor, KPMG Huazhen LLP.</w:t>
      </w:r>
    </w:p>
    <w:p>
      <w:pPr>
        <w:spacing w:after="0" w:line="182" w:lineRule="exact"/>
        <w:rPr>
          <w:sz w:val="20"/>
          <w:szCs w:val="20"/>
          <w:color w:val="auto"/>
        </w:rPr>
      </w:pPr>
    </w:p>
    <w:p>
      <w:pPr>
        <w:ind w:left="300" w:firstLine="852"/>
        <w:spacing w:after="0" w:line="268" w:lineRule="auto"/>
        <w:rPr>
          <w:sz w:val="20"/>
          <w:szCs w:val="20"/>
          <w:color w:val="auto"/>
        </w:rPr>
      </w:pPr>
      <w:r>
        <w:rPr>
          <w:rFonts w:ascii="Arial" w:cs="Arial" w:eastAsia="Arial" w:hAnsi="Arial"/>
          <w:sz w:val="17"/>
          <w:szCs w:val="17"/>
          <w:color w:val="auto"/>
        </w:rPr>
        <w:t>We may take measures to enable PCAOB’s inspection of our auditor. Given that we have operations in the U.S., we may in the future maintain our accounting books and records in the U.S., and if required by the HFCA Act, the PCAOB or the SEC, we shall in the future, but shall in no event later than after being identified as a Commission-Identified Issuer for three consecutive years, change our auditor to an independent registered public accounting firm located in the U.S. subject to the PCAOB’s inspection in order to maintain the listing of our Class A ordinary shares. We may incur additional costs in connection with such change and we cannot assure you that we could do so in a timely manner, if at all. If we fail to implement measures to comply with the HFCA Act and the uncertainty surrounding the possible new rule and regulations regarding the implementation of the HFCA Act remains, such uncertainty could cause the market price of our Class A ordinary shares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Class A ordinary shares when you wish to do so, and the risk and uncertainty associated with a potential delisting would have a negative impact on the price of our Class A ordinary shares. See “Risk Factors—Risks Related to our Class A ordinary shares—Our Class A ordinary shares may be delisted under the HFCA Act if the PCAOB is unable to inspect auditors who are located in China and if we fail to implement measures to enable PCAOB’s inspection of our auditor. The delisting of our Class A ordinary shares, or the threat of their being delisted, may materially and adversely affect the value of your investment. Additionally, the inability of the PCAOB to conduct inspections deprives our investors of the benefits of such inspections.”</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as amended, or the JOBS Act. As long as we remain an emerging growth company, we may rely on exemptions from some of the reporting requirements applicable to public companies that are not emerging growth companies. These exemptions include:</w:t>
      </w:r>
    </w:p>
    <w:p>
      <w:pPr>
        <w:spacing w:after="0" w:line="214" w:lineRule="exact"/>
        <w:rPr>
          <w:sz w:val="20"/>
          <w:szCs w:val="20"/>
          <w:color w:val="auto"/>
        </w:rPr>
      </w:pPr>
    </w:p>
    <w:p>
      <w:pPr>
        <w:ind w:left="1540" w:right="100" w:hanging="297"/>
        <w:spacing w:after="0" w:line="311"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being permitted to provide only two years of selected financial data (rather than five years) and only two years of audited financial statements (rather than three years), in addition to any required unaudited interim financial statements, with correspondingly reduced “Management’s Discussion and Analysis of Financial Condition and Results of Operations” disclosure;</w:t>
      </w:r>
    </w:p>
    <w:p>
      <w:pPr>
        <w:spacing w:after="0" w:line="175" w:lineRule="exact"/>
        <w:rPr>
          <w:rFonts w:ascii="Arial" w:cs="Arial" w:eastAsia="Arial" w:hAnsi="Arial"/>
          <w:sz w:val="16"/>
          <w:szCs w:val="16"/>
          <w:color w:val="auto"/>
        </w:rPr>
      </w:pPr>
    </w:p>
    <w:p>
      <w:pPr>
        <w:ind w:left="154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the Sarbanes-Oxley Act of 2002 in the assessment of our internal control over financial reporting; and</w:t>
      </w:r>
    </w:p>
    <w:p>
      <w:pPr>
        <w:spacing w:after="0" w:line="197" w:lineRule="exact"/>
        <w:rPr>
          <w:rFonts w:ascii="Arial" w:cs="Arial" w:eastAsia="Arial" w:hAnsi="Arial"/>
          <w:sz w:val="18"/>
          <w:szCs w:val="18"/>
          <w:color w:val="auto"/>
        </w:rPr>
      </w:pPr>
    </w:p>
    <w:p>
      <w:pPr>
        <w:ind w:left="1540" w:right="34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comply with any new or revised financial accounting standards until such date that a private company is otherwise required to comply with such new or revised accounting standards.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have taken, and may continue to take, advantage of some of these exemptions until we are no longer an emerging growth company.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will not “opt out” of such exemptions afforded to an emerging growth company.</w:t>
      </w:r>
    </w:p>
    <w:p>
      <w:pPr>
        <w:spacing w:after="0" w:line="21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252" w:lineRule="exact"/>
        <w:rPr>
          <w:sz w:val="20"/>
          <w:szCs w:val="20"/>
          <w:color w:val="auto"/>
        </w:rPr>
      </w:pPr>
    </w:p>
    <w:p>
      <w:pPr>
        <w:ind w:left="1540" w:hanging="297"/>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gross revenues of at least $1.07 billion;</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completion of this offering;</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 year period, issued more than $1.00 billion in non-convertible debt; or</w:t>
      </w:r>
    </w:p>
    <w:p>
      <w:pPr>
        <w:spacing w:after="0" w:line="263" w:lineRule="exact"/>
        <w:rPr>
          <w:rFonts w:ascii="Arial" w:cs="Arial" w:eastAsia="Arial" w:hAnsi="Arial"/>
          <w:sz w:val="17"/>
          <w:szCs w:val="17"/>
          <w:color w:val="auto"/>
        </w:rPr>
      </w:pPr>
    </w:p>
    <w:p>
      <w:pPr>
        <w:ind w:left="1540" w:right="100" w:hanging="297"/>
        <w:spacing w:after="0" w:line="263"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become a “large accelerated filer” under the U.S. Securities Exchange Act of 1934, as amended, or the Exchange Act, which would occur if the market value of our Class A ordinary shares held by non-affiliates exceeds $700 million as of the last business day of our most recently completed second fiscal quarter.</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will not be entitled to the above exemptions if we cease to be an emerging growth company.</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We are a foreign private issuer within the meaning of the rules under the Exchange Act, and as such we are exempt under the Exchange Act from, among other things, the rules under the Exchange Act requiring the filing of quarterly reports on Form 10-Q or current reports on Form 8-K with the SEC,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will be required to file an annual report on Form 20-F within four months of the end of each fiscal year</w:t>
      </w: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and we intend to publish our results on a quarterly basis. However, the information we are required to file with or furnish to the SEC will be less extensive and less timely compared to that required to be filed with the SEC by U.S. domestic issuers.</w:t>
      </w:r>
    </w:p>
    <w:p>
      <w:pPr>
        <w:spacing w:after="0" w:line="170" w:lineRule="exact"/>
        <w:rPr>
          <w:sz w:val="20"/>
          <w:szCs w:val="20"/>
          <w:color w:val="auto"/>
        </w:rPr>
      </w:pPr>
    </w:p>
    <w:p>
      <w:pPr>
        <w:ind w:left="300" w:firstLine="852"/>
        <w:spacing w:after="0" w:line="301" w:lineRule="auto"/>
        <w:rPr>
          <w:sz w:val="20"/>
          <w:szCs w:val="20"/>
          <w:color w:val="auto"/>
        </w:rPr>
      </w:pPr>
      <w:r>
        <w:rPr>
          <w:rFonts w:ascii="Arial" w:cs="Arial" w:eastAsia="Arial" w:hAnsi="Arial"/>
          <w:sz w:val="16"/>
          <w:szCs w:val="16"/>
          <w:color w:val="auto"/>
        </w:rPr>
        <w:t>In addition, 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 Currently, we do not plan to rely on home country practices with respect to our corporate governance after we complete this offering.</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229" w:lineRule="exact"/>
        <w:rPr>
          <w:sz w:val="20"/>
          <w:szCs w:val="20"/>
          <w:color w:val="auto"/>
        </w:rPr>
      </w:pPr>
    </w:p>
    <w:p>
      <w:pPr>
        <w:ind w:left="300" w:right="20" w:firstLine="852"/>
        <w:spacing w:after="0" w:line="271" w:lineRule="auto"/>
        <w:rPr>
          <w:sz w:val="20"/>
          <w:szCs w:val="20"/>
          <w:color w:val="auto"/>
        </w:rPr>
      </w:pPr>
      <w:r>
        <w:rPr>
          <w:rFonts w:ascii="Arial" w:cs="Arial" w:eastAsia="Arial" w:hAnsi="Arial"/>
          <w:sz w:val="17"/>
          <w:szCs w:val="17"/>
          <w:color w:val="auto"/>
        </w:rPr>
        <w:t>Immediately prior to the completion of this offering, our outstanding share capital will consist of Class A ordinary shares and Class B ordinary shares. Mr. Larry Lei Wu, our chairman of board of directors and chief executive officer, will beneficially own all of our issued Class B ordinary shares and will be able to exercise approximately 75.1% of the total voting power of our issued and outstanding share capital immediately following the completion of this offering. Holders of Class A ordinary shares and Class B ordinary shares will have the same rights except for voting and conversion rights. Each Class A ordinary share will be entitled to one vote, and each Class B ordinary share will be entitled to ten votes. Our Class A ordinary shares and Class B ordinary shares vote together as a single class on all matters submitted to a vote of our shareholders, except as may otherwise be required by law. Each Class B ordinary share will be convertible into Class A ordinary share. Class A ordinary shares will not be convertible into Class B ordinary shares under any circumstances.</w:t>
      </w:r>
    </w:p>
    <w:p>
      <w:pPr>
        <w:spacing w:after="0" w:line="178" w:lineRule="exact"/>
        <w:rPr>
          <w:sz w:val="20"/>
          <w:szCs w:val="20"/>
          <w:color w:val="auto"/>
        </w:rPr>
      </w:pPr>
    </w:p>
    <w:p>
      <w:pPr>
        <w:ind w:left="300" w:right="40" w:firstLine="852"/>
        <w:spacing w:after="0" w:line="255" w:lineRule="auto"/>
        <w:rPr>
          <w:sz w:val="20"/>
          <w:szCs w:val="20"/>
          <w:color w:val="auto"/>
        </w:rPr>
      </w:pPr>
      <w:r>
        <w:rPr>
          <w:rFonts w:ascii="Arial" w:cs="Arial" w:eastAsia="Arial" w:hAnsi="Arial"/>
          <w:sz w:val="18"/>
          <w:szCs w:val="18"/>
          <w:color w:val="auto"/>
        </w:rPr>
        <w:t>As a result, upon the completion of this offering, we will be a “controlled company” as defined under the Nasdaq Stock Market Listing Rules because Mr. Larry Lei Wu, our chairman of board of directors and chief executive officer, will hold more than 50% of the voting power for the election of directors through TALENT BOOM GROUP LIMITED and Ji Xiang Hu Tong Holdings Limited, the entities controlled by Mr. Wu. As a “controlled company,” we are permitted to elect not to comply with certain corporate governance requirements. If we rely on these exemptions, you will not have the same protection afforded to shareholders of companies that are subject to these corporate governance requirements.</w:t>
      </w:r>
    </w:p>
    <w:p>
      <w:pPr>
        <w:spacing w:after="0" w:line="192" w:lineRule="exact"/>
        <w:rPr>
          <w:sz w:val="20"/>
          <w:szCs w:val="20"/>
          <w:color w:val="auto"/>
        </w:rPr>
      </w:pPr>
    </w:p>
    <w:p>
      <w:pPr>
        <w:ind w:left="300" w:right="60" w:firstLine="852"/>
        <w:spacing w:after="0" w:line="291" w:lineRule="auto"/>
        <w:rPr>
          <w:sz w:val="20"/>
          <w:szCs w:val="20"/>
          <w:color w:val="auto"/>
        </w:rPr>
      </w:pPr>
      <w:r>
        <w:rPr>
          <w:rFonts w:ascii="Arial" w:cs="Arial" w:eastAsia="Arial" w:hAnsi="Arial"/>
          <w:sz w:val="16"/>
          <w:szCs w:val="16"/>
          <w:color w:val="auto"/>
        </w:rPr>
        <w:t>As a result of the dual-class share structure and the concentration of ownership, holders of Class B ordinary shares will have considerable influence over matters such as decisions regarding mergers and consolidations, election of directors and other significant corporate actions. For a detailed description of the risks associated with our dual-class structure, see “Risk Factors—Risks Related to Our Class A Ordinary Shares and this Offering—Our dual-class voting structure will limit your ability to influence corporate matters and could discourage others from pursuing any change of control transactions that holders of our Class A ordinary shares may view as beneficial” and “Risk Factors—Risks Related to Our Class A Ordinary Shares and this Offering—Our dual-class voting structure may render our Class A ordinary shares ineligible for inclusion in certain stock market indices, and thus adversely affect the trading price and liquidity of our Class A ordinary shares.”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380" w:firstLine="852"/>
        <w:spacing w:after="0" w:line="263" w:lineRule="auto"/>
        <w:rPr>
          <w:sz w:val="20"/>
          <w:szCs w:val="20"/>
          <w:color w:val="auto"/>
        </w:rPr>
      </w:pPr>
      <w:r>
        <w:rPr>
          <w:rFonts w:ascii="Arial" w:cs="Arial" w:eastAsia="Arial" w:hAnsi="Arial"/>
          <w:sz w:val="18"/>
          <w:szCs w:val="18"/>
          <w:color w:val="auto"/>
        </w:rPr>
        <w:t>Our principal executive offices are located at Unit A, 12/F, Shun Ho Tower, 24-30 Ice House Street, Central, Hong Kong. Our telephone number at this address is +852 2369-8219. Our registered office in the Cayman Islands is located at the offices of Maples Corporate Services Limited at PO Box 309, Ugland House, Grand Cayman, KY1-1104, Cayman Islands.</w:t>
      </w:r>
    </w:p>
    <w:p>
      <w:pPr>
        <w:spacing w:after="0" w:line="184" w:lineRule="exact"/>
        <w:rPr>
          <w:sz w:val="20"/>
          <w:szCs w:val="20"/>
          <w:color w:val="auto"/>
        </w:rPr>
      </w:pPr>
    </w:p>
    <w:p>
      <w:pPr>
        <w:ind w:left="300" w:right="100" w:firstLine="852"/>
        <w:spacing w:after="0" w:line="277" w:lineRule="auto"/>
        <w:rPr>
          <w:sz w:val="20"/>
          <w:szCs w:val="20"/>
          <w:color w:val="auto"/>
        </w:rPr>
      </w:pPr>
      <w:r>
        <w:rPr>
          <w:rFonts w:ascii="Arial" w:cs="Arial" w:eastAsia="Arial" w:hAnsi="Arial"/>
          <w:sz w:val="18"/>
          <w:szCs w:val="18"/>
          <w:color w:val="auto"/>
        </w:rPr>
        <w:t>Investors should submit any inquiries to the address and telephone number of our principal executive offices. Our corporate website is https://www.gigacloudtech.com/. The information contained on our website is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not a part of this prospectus. Our agent for service of process in the U.S. is Cogency Global Inc. located at 122 East 42nd Street, 18th Floor New York, NY 10168.</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we indicate otherwise, references in this prospectus to:</w:t>
      </w:r>
    </w:p>
    <w:p>
      <w:pPr>
        <w:spacing w:after="0" w:line="252" w:lineRule="exact"/>
        <w:rPr>
          <w:sz w:val="20"/>
          <w:szCs w:val="20"/>
          <w:color w:val="auto"/>
        </w:rPr>
      </w:pPr>
    </w:p>
    <w:p>
      <w:pPr>
        <w:ind w:left="1540" w:right="86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“Active 3P sellers” means sellers who have sold a product in GigaCloud Marketplace within the last 12-month period, irrespective of cancellations or returns;</w:t>
      </w:r>
    </w:p>
    <w:p>
      <w:pPr>
        <w:spacing w:after="0" w:line="197" w:lineRule="exact"/>
        <w:rPr>
          <w:rFonts w:ascii="Arial" w:cs="Arial" w:eastAsia="Arial" w:hAnsi="Arial"/>
          <w:sz w:val="18"/>
          <w:szCs w:val="18"/>
          <w:color w:val="auto"/>
        </w:rPr>
      </w:pPr>
    </w:p>
    <w:p>
      <w:pPr>
        <w:ind w:left="1540" w:right="36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“Active buyers” means buyers who have purchased a product in the GigaCloud Marketplace within the last 12-month period, irrespective of cancellations or returns;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“Cayman Islands holding company” are to GigaCloud Technology Inc, our Cayman Islands holding company and its predecessor entity;</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and “mainland China” are to the People’s Republic of China excluding, for the purposes of this prospectus only, Taiwan, the Hong Kong Special Administrative Region and the Macao Special Administrative Region;</w:t>
      </w:r>
    </w:p>
    <w:p>
      <w:pPr>
        <w:spacing w:after="0" w:line="210" w:lineRule="exact"/>
        <w:rPr>
          <w:rFonts w:ascii="Arial" w:cs="Arial" w:eastAsia="Arial" w:hAnsi="Arial"/>
          <w:sz w:val="18"/>
          <w:szCs w:val="18"/>
          <w:color w:val="auto"/>
        </w:rPr>
      </w:pPr>
    </w:p>
    <w:p>
      <w:pPr>
        <w:ind w:left="1540" w:right="52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“Class A ordinary shares” or “our Class A ordinary shares” are to the Class A ordinary shares, par value $0.05 per share, of GigaCloud Technology Inc;</w:t>
      </w:r>
    </w:p>
    <w:p>
      <w:pPr>
        <w:spacing w:after="0" w:line="197" w:lineRule="exact"/>
        <w:rPr>
          <w:rFonts w:ascii="Arial" w:cs="Arial" w:eastAsia="Arial" w:hAnsi="Arial"/>
          <w:sz w:val="18"/>
          <w:szCs w:val="18"/>
          <w:color w:val="auto"/>
        </w:rPr>
      </w:pPr>
    </w:p>
    <w:p>
      <w:pPr>
        <w:ind w:left="1540" w:right="520" w:hanging="297"/>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“Class B ordinary shares” or “our Class B ordinary shares” are to the Class B ordinary shares, par value $0.05 per share, of GigaCloud Technology Inc;</w:t>
      </w:r>
    </w:p>
    <w:p>
      <w:pPr>
        <w:spacing w:after="0" w:line="197" w:lineRule="exact"/>
        <w:rPr>
          <w:rFonts w:ascii="Arial" w:cs="Arial" w:eastAsia="Arial" w:hAnsi="Arial"/>
          <w:sz w:val="18"/>
          <w:szCs w:val="18"/>
          <w:color w:val="auto"/>
        </w:rPr>
      </w:pPr>
    </w:p>
    <w:p>
      <w:pPr>
        <w:ind w:left="1540" w:right="520" w:hanging="297"/>
        <w:spacing w:after="0" w:line="263"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“GigaCloud Marketplace GMV” means the total gross merchandise value of transactions ordered through our GigaCloud Marketplace including GigaCloud 3P and GigaCloud 1P, before any deductions of value added tax, goods and services tax, shipping charges paid by buyers to sellers and any refunds;</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“GMV” means the total gross merchandise value of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“Hong Kong” are to Hong Kong Special Administrative Region of the People’s Republic of China;</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“off-platform ecommerce” means the sale of our own inventory to and through third-party ecommerce platforms;</w:t>
      </w:r>
    </w:p>
    <w:p>
      <w:pPr>
        <w:spacing w:after="0" w:line="252" w:lineRule="exact"/>
        <w:rPr>
          <w:rFonts w:ascii="Arial" w:cs="Arial" w:eastAsia="Arial" w:hAnsi="Arial"/>
          <w:sz w:val="18"/>
          <w:szCs w:val="18"/>
          <w:color w:val="auto"/>
        </w:rPr>
      </w:pPr>
    </w:p>
    <w:p>
      <w:pPr>
        <w:ind w:left="1540" w:hanging="297"/>
        <w:spacing w:after="0" w:line="254"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“preferred shares” or “our preferred shares” are to the redeemable convertible preferred shares of $0.05 par value per share, of GigaCloud Technology Inc, including series A redeemable convertible preferred shares of $0.05 par value per share, or “series A preferred shares,” series B redeemable convertible preferred shares of $0.05 par value per share, or “series B preferred shares,” series C redeemable convertible preferred shares of $0.05 par value per share, or “series C preferred shares,” series D redeemable convertible preferred shares of $0.05 par value per share, or “series D preferred shares,” and series E redeemable convertible preferred shares, or “series E preferred shares.” The preferred shares will automatically convert into our ordinary shares and be re-designated as Class A ordinary shares or Class B ordinary shares, where applicable, immediately prior to the completion of this offering;</w:t>
      </w:r>
    </w:p>
    <w:p>
      <w:pPr>
        <w:spacing w:after="0" w:line="218" w:lineRule="exact"/>
        <w:rPr>
          <w:rFonts w:ascii="Arial" w:cs="Arial" w:eastAsia="Arial" w:hAnsi="Arial"/>
          <w:sz w:val="18"/>
          <w:szCs w:val="18"/>
          <w:color w:val="auto"/>
        </w:rPr>
      </w:pPr>
    </w:p>
    <w:p>
      <w:pPr>
        <w:ind w:left="1540" w:hanging="297"/>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300" w:hanging="297"/>
        <w:spacing w:after="0" w:line="26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“our shares” “ordinary shares” or “our ordinary shares” are to the ordinary shares, par value $0.05 per share, of GigaCloud Technology Inc, and upon and after the completion of this offering, are to our Class A ordinary shares and Class B ordinary shares, par value $0.05 per share;</w:t>
      </w:r>
    </w:p>
    <w:p>
      <w:pPr>
        <w:spacing w:after="0" w:line="210" w:lineRule="exact"/>
        <w:rPr>
          <w:rFonts w:ascii="Arial" w:cs="Arial" w:eastAsia="Arial" w:hAnsi="Arial"/>
          <w:sz w:val="18"/>
          <w:szCs w:val="18"/>
          <w:color w:val="auto"/>
        </w:rPr>
      </w:pPr>
    </w:p>
    <w:p>
      <w:pPr>
        <w:jc w:val="both"/>
        <w:ind w:left="1540" w:right="140" w:hanging="297"/>
        <w:spacing w:after="0" w:line="286" w:lineRule="auto"/>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 Consolidation” means consolidation of every 500 shares of each class with a par value of $0.0001 each in our authorized share capital (including all issued and unissued shares) into one share of the same class with a par value of US$0.05 each which was approved by our board of directors and shareholders in July 2022 and effected in July 2022;</w:t>
      </w:r>
    </w:p>
    <w:p>
      <w:pPr>
        <w:spacing w:after="0" w:line="192" w:lineRule="exact"/>
        <w:rPr>
          <w:rFonts w:ascii="Arial" w:cs="Arial" w:eastAsia="Arial" w:hAnsi="Arial"/>
          <w:sz w:val="17"/>
          <w:szCs w:val="17"/>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“SKU” means the stock keeping unit for our inventory;</w:t>
      </w:r>
    </w:p>
    <w:p>
      <w:pPr>
        <w:spacing w:after="0" w:line="252" w:lineRule="exact"/>
        <w:rPr>
          <w:rFonts w:ascii="Arial" w:cs="Arial" w:eastAsia="Arial" w:hAnsi="Arial"/>
          <w:sz w:val="18"/>
          <w:szCs w:val="18"/>
          <w:color w:val="auto"/>
        </w:rPr>
      </w:pPr>
    </w:p>
    <w:p>
      <w:pPr>
        <w:ind w:left="1540" w:right="60" w:hanging="297"/>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“Spend per active buyer” is calculated by dividing the total GigaCloud Marketplace GMV within the last 12-month period by the number of active buyers as of such date;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 and “U.S. dollars” are to the legal currency of the U.S.;</w:t>
      </w:r>
    </w:p>
    <w:p>
      <w:pPr>
        <w:spacing w:after="0" w:line="252" w:lineRule="exact"/>
        <w:rPr>
          <w:rFonts w:ascii="Arial" w:cs="Arial" w:eastAsia="Arial" w:hAnsi="Arial"/>
          <w:sz w:val="18"/>
          <w:szCs w:val="18"/>
          <w:color w:val="auto"/>
        </w:rPr>
      </w:pPr>
    </w:p>
    <w:p>
      <w:pPr>
        <w:ind w:left="1540" w:right="160" w:hanging="297"/>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“VIEs” are to our variable interest entities who entered into account control agreements, or control agreements, with GigaCloud Technology Inc, as detailed in “Corporate History and Structure”; and</w:t>
      </w:r>
    </w:p>
    <w:p>
      <w:pPr>
        <w:spacing w:after="0" w:line="197" w:lineRule="exact"/>
        <w:rPr>
          <w:rFonts w:ascii="Arial" w:cs="Arial" w:eastAsia="Arial" w:hAnsi="Arial"/>
          <w:sz w:val="18"/>
          <w:szCs w:val="18"/>
          <w:color w:val="auto"/>
        </w:rPr>
      </w:pPr>
    </w:p>
    <w:p>
      <w:pPr>
        <w:ind w:left="1540" w:hanging="297"/>
        <w:spacing w:after="0" w:line="311"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“us,” “our company,” “our,” “our group” or “GigaCloud Group” refer to GigaCloud Technology Inc, our Cayman Islands holding company, its predecessor entity, together as a group with its subsidiaries, and, in the context of describing our operations and consolidated financial statements, its consolidated VIEs and any subsidiaries of its consolidated VIEs, as the context requires.</w:t>
      </w:r>
    </w:p>
    <w:p>
      <w:pPr>
        <w:spacing w:after="0" w:line="149"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In this prospectus, any PRC laws, rules, regulations, statutes, notices, circulars and court’s judicial interpretation or the like refer to those currently in force, published for comments (if specifically stated) or being promulgated but have not come into effect (if specifically stated) and publicly available in mainland China as of the date of this prospectus.</w:t>
      </w:r>
    </w:p>
    <w:p>
      <w:pPr>
        <w:spacing w:after="0" w:line="184" w:lineRule="exact"/>
        <w:rPr>
          <w:sz w:val="20"/>
          <w:szCs w:val="20"/>
          <w:color w:val="auto"/>
        </w:rPr>
      </w:pPr>
    </w:p>
    <w:p>
      <w:pPr>
        <w:ind w:left="300" w:right="440" w:firstLine="852"/>
        <w:spacing w:after="0" w:line="263" w:lineRule="auto"/>
        <w:rPr>
          <w:sz w:val="20"/>
          <w:szCs w:val="20"/>
          <w:color w:val="auto"/>
        </w:rPr>
      </w:pPr>
      <w:r>
        <w:rPr>
          <w:rFonts w:ascii="Arial" w:cs="Arial" w:eastAsia="Arial" w:hAnsi="Arial"/>
          <w:sz w:val="18"/>
          <w:szCs w:val="18"/>
          <w:color w:val="auto"/>
        </w:rPr>
        <w:t>Unless the context indicates otherwise, all information in this prospectus assumes (i) no exercise by the underwriter of its over-allotment option to purchase additional Class A ordinary shares and (ii) a 1-for-500 Share Consolidation of our ordinary shares approved and effected in July 2022.</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Restatement of Previously Issued Financial Statements</w:t>
      </w:r>
    </w:p>
    <w:p>
      <w:pPr>
        <w:spacing w:after="0" w:line="225" w:lineRule="exact"/>
        <w:rPr>
          <w:sz w:val="20"/>
          <w:szCs w:val="20"/>
          <w:color w:val="auto"/>
        </w:rPr>
      </w:pPr>
    </w:p>
    <w:p>
      <w:pPr>
        <w:ind w:left="300" w:right="60" w:firstLine="852"/>
        <w:spacing w:after="0" w:line="275" w:lineRule="auto"/>
        <w:rPr>
          <w:sz w:val="20"/>
          <w:szCs w:val="20"/>
          <w:color w:val="auto"/>
        </w:rPr>
      </w:pPr>
      <w:r>
        <w:rPr>
          <w:rFonts w:ascii="Arial" w:cs="Arial" w:eastAsia="Arial" w:hAnsi="Arial"/>
          <w:sz w:val="17"/>
          <w:szCs w:val="17"/>
          <w:color w:val="auto"/>
        </w:rPr>
        <w:t>During the course of preparing the consolidated financial statements as of and for the year ended December 31, 2021, we restated previously issued 2019 and 2020 consolidated financial statements and the previously issued unaudited condensed financial statements as of and for the three months ended March 31, 2021 to correct errors in the recognition of share-based compensation expenses and the related impact on various line items. For more information, see Note 2(c) of our audited consolidated financial statements and Note 1(b) of our unaudited condensed consolidated financial statements included elsewhere in this prospectus.</w:t>
      </w:r>
    </w:p>
    <w:p>
      <w:pPr>
        <w:spacing w:after="0" w:line="176"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We have made rounding adjustments to reach some of the figures included in this prospectus. Consequently, numerical figures shown as totals in some tables may not be arithmetic aggregations of the figures that precede them.</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320" w:top="459" w:right="6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20" w:type="dxa"/>
            <w:vAlign w:val="bottom"/>
            <w:tcBorders>
              <w:top w:val="single" w:sz="8" w:color="auto"/>
              <w:left w:val="single" w:sz="8" w:color="auto"/>
            </w:tcBorders>
          </w:tcPr>
          <w:p>
            <w:pPr>
              <w:spacing w:after="0"/>
              <w:rPr>
                <w:sz w:val="24"/>
                <w:szCs w:val="24"/>
                <w:color w:val="auto"/>
              </w:rPr>
            </w:pPr>
          </w:p>
        </w:tc>
        <w:tc>
          <w:tcPr>
            <w:tcW w:w="690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$12.25 per Class A ordinary share.</w:t>
            </w:r>
          </w:p>
        </w:tc>
      </w:tr>
      <w:tr>
        <w:trPr>
          <w:trHeight w:val="458"/>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Ordinary Shares Offered by Us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2,940,000 Class A ordinary share (or 3,381,000 Class A ordinary share if the underwriter</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exercises the over-allotment option to purchase additional Class A ordinary share in full).</w:t>
            </w:r>
          </w:p>
        </w:tc>
      </w:tr>
      <w:tr>
        <w:trPr>
          <w:trHeight w:val="44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Ordinary Shares Outstanding Immediately After This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30,916,814 Class A ordinary shares (or 31,357,814 Class A ordinary shares if the</w:t>
            </w:r>
          </w:p>
        </w:tc>
      </w:tr>
      <w:tr>
        <w:trPr>
          <w:trHeight w:val="216"/>
        </w:trPr>
        <w:tc>
          <w:tcPr>
            <w:tcW w:w="41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Offering</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underwriter exercises the over-allotment option to purchase additional Class A ordinary</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shares in full) and 9,326,732 Class B ordinary shares.</w:t>
            </w:r>
          </w:p>
        </w:tc>
      </w:tr>
      <w:tr>
        <w:trPr>
          <w:trHeight w:val="44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We have adopted a dual-class voting structure that will become effective immediately prior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to the completion of this offering. Holders of our Class A ordinary shares and holders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our Class B ordinary shares will have the same rights, except for voting and conversion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rights. In respect of matters requiring a shareholders’ vote, each Class A ordinary share will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be entitled to one vote and each Class B ordinary share will be entitled to ten votes. Our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Class A ordinary shares and Class B ordinary shares vote together as a single class on all</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matters submitted to a vote of our shareholders, except as may otherwise be required by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law. Each Class B ordinary share will be convertible into one Class A ordinary share at any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time, by the holder thereof. However, Class A ordinary shares will not be convertible into</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Class B ordinary shares at any time, under any circumstances.</w:t>
            </w:r>
          </w:p>
        </w:tc>
      </w:tr>
      <w:tr>
        <w:trPr>
          <w:trHeight w:val="445"/>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Upon (i) any sale, transfer, assignment or disposition of ownership in Class B ordinary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shares by a holder thereof to any person or entity that is not our controlling shareholder or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 entity that is ultimately controlled by our controlling shareholder or (ii) upon any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change in the ultimate beneficial ownership of any Class B ordinary share to a person who</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 neither our controlling shareholder nor an entity that is ultimately controlled by our</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controlling shareholder, such Class B ordinary shares will automatically and immediately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converted into an equal number of Class A ordinary shares without any actions on the part</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the transferor or the transferee. For further information, see “Description of Share</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Capital.”</w:t>
            </w:r>
          </w:p>
        </w:tc>
      </w:tr>
      <w:tr>
        <w:trPr>
          <w:trHeight w:val="44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Over-Allotment Option</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We have granted to the underwriter an option, exercisable within 45 days from the date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this prospectus, to purchase up to an aggregate of 441,000 additional Class A ordinary</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shares, representing 15% of the Class A ordinary shares sold in the offering, at the initial</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public offering price, less underwriting discounts and commissions.</w:t>
            </w:r>
          </w:p>
        </w:tc>
      </w:tr>
      <w:tr>
        <w:trPr>
          <w:trHeight w:val="44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We estimate that we will receive net proceeds of approximately $29.7 million (or $34.6</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million if the underwriter exercises the over-allotment option to purchase additional Class</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 ordinary shares in full) from this offering based on the initial public offering price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$12.25 per Class A ordinary share, after deducting estimated underwriting discounts and</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159"/>
        </w:trPr>
        <w:tc>
          <w:tcPr>
            <w:tcW w:w="4120" w:type="dxa"/>
            <w:vAlign w:val="bottom"/>
            <w:tcBorders>
              <w:left w:val="single" w:sz="8" w:color="auto"/>
              <w:bottom w:val="single" w:sz="8" w:color="auto"/>
            </w:tcBorders>
          </w:tcPr>
          <w:p>
            <w:pPr>
              <w:spacing w:after="0"/>
              <w:rPr>
                <w:sz w:val="13"/>
                <w:szCs w:val="13"/>
                <w:color w:val="auto"/>
              </w:rPr>
            </w:pPr>
          </w:p>
        </w:tc>
        <w:tc>
          <w:tcPr>
            <w:tcW w:w="6900" w:type="dxa"/>
            <w:vAlign w:val="bottom"/>
            <w:tcBorders>
              <w:bottom w:val="single" w:sz="8" w:color="auto"/>
              <w:right w:val="single" w:sz="8" w:color="auto"/>
            </w:tcBorders>
          </w:tcPr>
          <w:p>
            <w:pPr>
              <w:spacing w:after="0"/>
              <w:rPr>
                <w:sz w:val="13"/>
                <w:szCs w:val="13"/>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30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2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We anticipate using the net proceeds of this offering primarily for working capital,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operating expenses, capital expenditures and other general corporate purposes including</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funding potential strategic acquisitions, investments and alliances, although we do not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presently have specific plans and are not currently engaged in any discussions or</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negotiations with respect to any such transaction.</w:t>
            </w:r>
          </w:p>
        </w:tc>
      </w:tr>
      <w:tr>
        <w:trPr>
          <w:trHeight w:val="45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See “Use of Proceeds” for more information.</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Participation in the Offering</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Certain entities affiliated with DCM, one of our principal shareholders, have agreed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purchase, and have been allocated by the underwriter, an aggregate of 816,300 Class A</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ordinary shares in this offering at the initial public offering price, representing</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approximately 27.8% of the Class A ordinary shares being offered in this offering,</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assuming the underwriter does not exercise their over-allotment option.</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We, our directors, executive officers and all existing holders of our outstanding ordinary</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shares have agreed with the underwriter, subject to certain exceptions, not to sell, transfer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or otherwise dispose of any ordinary shares or similar securities or any securities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convertible into or exchangeable or exercisable for our ordinary shares, for a period of 180</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days after the date of this prospectus. See “Shares Eligible for Future Sale” and</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“Underwriting.” Any ordinary shares subscribed for by the DCM entities in this offering</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will not be subject to the foregoing lock-up restrictions.</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Founder’s Undertaking</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Under an undertaking letter dated July 6, 2022, Mr. Larry Lei Wu, or the Founder, together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with Ji Xiang Hu Tong Holdings Limited and TALENT BOOM GROUP LIMITED, or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collectively, the Founder Holders, have undertaken to our company that: for a period of</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five years after the closing of this offering, (i) without the prior written consent of our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board of directors and at least a majority of the independent directors, the Founder Holders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will not agree to, approve, support, vote (in favor of or against), or otherwise cause our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company to agree to, enter into or consummate, a privatization transaction, as defined in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“Description of Share Capital—Ordinary Shares—Conversion,” unless the consideration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per Class A ordinary share payable to shareholders of the Class A ordinary shares in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connection with such privatization transaction is at least equal to the price per Class A</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ordinary share initially offered to the public in this offering (subject to appropriate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adjustment in the event of any stock dividend, stock split, combination or other similar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recapitalization with respect to the Class A ordinary shares), provided, for greater clarity, if</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the Founder is serving on the board, the Founder may vote in favor of, against, or abstain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from voting on, a privatization transaction in the capacity of a director, and if such</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privatization transaction is approved by the board and at least a majority of the independent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directors, the Founder Holders as shareholders may vote in favor of, against, or abstain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from voting on, the privatization transaction; and (ii) upon the first to occur of: (a)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Founder being permanently unable to engage in the business affairs of our company as a</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result of incapacity solely due to his then physical and/or mental condition</w:t>
            </w:r>
          </w:p>
        </w:tc>
      </w:tr>
      <w:tr>
        <w:trPr>
          <w:trHeight w:val="159"/>
        </w:trPr>
        <w:tc>
          <w:tcPr>
            <w:tcW w:w="3220" w:type="dxa"/>
            <w:vAlign w:val="bottom"/>
            <w:tcBorders>
              <w:left w:val="single" w:sz="8" w:color="auto"/>
              <w:bottom w:val="single" w:sz="8" w:color="auto"/>
            </w:tcBorders>
          </w:tcPr>
          <w:p>
            <w:pPr>
              <w:spacing w:after="0"/>
              <w:rPr>
                <w:sz w:val="13"/>
                <w:szCs w:val="13"/>
                <w:color w:val="auto"/>
              </w:rPr>
            </w:pPr>
          </w:p>
        </w:tc>
        <w:tc>
          <w:tcPr>
            <w:tcW w:w="7800" w:type="dxa"/>
            <w:vAlign w:val="bottom"/>
            <w:tcBorders>
              <w:bottom w:val="single" w:sz="8" w:color="auto"/>
              <w:right w:val="single" w:sz="8" w:color="auto"/>
            </w:tcBorders>
          </w:tcPr>
          <w:p>
            <w:pPr>
              <w:spacing w:after="0"/>
              <w:rPr>
                <w:sz w:val="13"/>
                <w:szCs w:val="13"/>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72" w:lineRule="auto"/>
        <w:rPr>
          <w:sz w:val="20"/>
          <w:szCs w:val="20"/>
          <w:color w:val="auto"/>
        </w:rPr>
      </w:pPr>
      <w:r>
        <w:rPr>
          <w:rFonts w:ascii="Arial" w:cs="Arial" w:eastAsia="Arial" w:hAnsi="Arial"/>
          <w:sz w:val="17"/>
          <w:szCs w:val="17"/>
          <w:color w:val="auto"/>
        </w:rPr>
        <w:t>(which, for the avoidance of doubt, does not include any confinement against his will) or (b) the Founder’s primary business occupation no longer being either a director or an employee of our company, the Founder Holders shall cause, at such time, such Class B ordinary shares held by the Founder Holders to be converted into an equal number of Class A ordinary shares in accordance with our post-offering amended and restated memorandum and articles of association. See “Description of Share Capital—Ordinary Shares— Conversion” for more information.</w:t>
      </w:r>
    </w:p>
    <w:p>
      <w:pPr>
        <w:sectPr>
          <w:pgSz w:w="11900" w:h="16838" w:orient="portrait"/>
          <w:cols w:equalWidth="0" w:num="1">
            <w:col w:w="10940"/>
          </w:cols>
          <w:pgMar w:left="320" w:top="459" w:right="639" w:bottom="1440" w:gutter="0" w:footer="0" w:header="0"/>
        </w:sect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Directed Share Program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At our request, the underwriter has reserved for sale, at the initial public offering price, up to an aggregate of 1% of the Class A ordinary shares offered in this offering to certain of our directors, officers, employees, business associates and other persons having relationships with us through a directed share program. Any sales made through the directed share program will be made by Aegis. We do not know if these persons will choose to purchase all or any portion of these reserved Class A ordinary shares, but any purchases they do make will reduce the number of Class A ordinary shares available to the general public. Any reserved Class A ordinary shares not so purchased will be offered by the underwriter to the general public on the same terms as the other Class A ordinary shares. Certain participants may be subject to the lock-up agreements as described in “Underwriting—Directed Share Program.”</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jc w:val="both"/>
        <w:ind w:right="460"/>
        <w:spacing w:after="0" w:line="263" w:lineRule="auto"/>
        <w:rPr>
          <w:sz w:val="20"/>
          <w:szCs w:val="20"/>
          <w:color w:val="auto"/>
        </w:rPr>
      </w:pPr>
      <w:r>
        <w:rPr>
          <w:rFonts w:ascii="Arial" w:cs="Arial" w:eastAsia="Arial" w:hAnsi="Arial"/>
          <w:sz w:val="18"/>
          <w:szCs w:val="18"/>
          <w:color w:val="auto"/>
        </w:rPr>
        <w:t>Our Class A ordinary shares have been approved for listing on the Nasdaq under the symbol “GCT.” Our ordinary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Payment and settlement</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The underwriter expects to deliver the Class A ordinary shares against payment therefor on August 22, 2022, through the facilities of The Depository Trust Company, or DTC.</w:t>
      </w:r>
    </w:p>
    <w:p>
      <w:pPr>
        <w:spacing w:after="0" w:line="15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See “Risk Factors” and other information included in this prospectus for a discussion of risks you should carefully consider before investing in our Class A ordinary shares.</w:t>
      </w:r>
    </w:p>
    <w:p>
      <w:pPr>
        <w:spacing w:after="0" w:line="15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Transfer Agent and Share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Computershare Trust Company, N.A.</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total number of ordinary shares that will be outstanding immediately after this offering is based upon:</w:t>
      </w:r>
    </w:p>
    <w:p>
      <w:pPr>
        <w:spacing w:after="0" w:line="252" w:lineRule="exact"/>
        <w:rPr>
          <w:sz w:val="20"/>
          <w:szCs w:val="20"/>
          <w:color w:val="auto"/>
        </w:rPr>
      </w:pPr>
    </w:p>
    <w:p>
      <w:pPr>
        <w:ind w:left="1540" w:hanging="29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37,303,546 ordinary shares issued and outstanding on an as-converted basis as of the date of this prospectus; and</w:t>
      </w:r>
    </w:p>
    <w:p>
      <w:pPr>
        <w:spacing w:after="0" w:line="252" w:lineRule="exact"/>
        <w:rPr>
          <w:rFonts w:ascii="Arial" w:cs="Arial" w:eastAsia="Arial" w:hAnsi="Arial"/>
          <w:sz w:val="18"/>
          <w:szCs w:val="18"/>
          <w:color w:val="auto"/>
        </w:rPr>
      </w:pPr>
    </w:p>
    <w:p>
      <w:pPr>
        <w:ind w:left="1540" w:right="20" w:hanging="297"/>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2,940,000 Class A ordinary shares that we will issue and sell in this offering (assuming the underwriter does not exercise the over-allotment option to purchase additional Class A ordinary shares).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29" w:lineRule="exact"/>
        <w:rPr>
          <w:sz w:val="20"/>
          <w:szCs w:val="20"/>
          <w:color w:val="auto"/>
        </w:rPr>
      </w:pPr>
    </w:p>
    <w:p>
      <w:pPr>
        <w:ind w:left="300" w:right="40" w:firstLine="852"/>
        <w:spacing w:after="0" w:line="287" w:lineRule="auto"/>
        <w:rPr>
          <w:sz w:val="20"/>
          <w:szCs w:val="20"/>
          <w:color w:val="auto"/>
        </w:rPr>
      </w:pPr>
      <w:r>
        <w:rPr>
          <w:rFonts w:ascii="Arial" w:cs="Arial" w:eastAsia="Arial" w:hAnsi="Arial"/>
          <w:sz w:val="16"/>
          <w:szCs w:val="16"/>
          <w:color w:val="auto"/>
        </w:rPr>
        <w:t>The following summary consolidated statements of comprehensive income data and consolidated statement of cash flows data for the years ended December 31, 2019, 2020 and 2021 and summary consolidated balance sheet data as of December 31, 2020 and 2021 have been derived from our audited consolidated financial statements included elsewhere in this prospectus. The following summary consolidated statements of comprehensive income data for the three months ended March 31, 2021 and 2022, summary consolidated balance sheet data as of March 31, 2022, and summary consolidated statements of cash flows data for the three months ended March 31, 2021 and 2022 have been derived from our unaudited condensed consolidated financial statements included elsewhere in this prospectus and have been prepared on the same basis as our audited consolidated financial statements and include all adjustments, consisting only of ordinary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for any future periods. You should read this section together with our consolidated financial statements and the related notes and the “Management’s Discussion and Analysis of Financial Condition and Results of Operations” section included elsewhere in this prospectus.</w:t>
      </w:r>
    </w:p>
    <w:p>
      <w:pPr>
        <w:spacing w:after="0" w:line="178" w:lineRule="exact"/>
        <w:rPr>
          <w:sz w:val="20"/>
          <w:szCs w:val="20"/>
          <w:color w:val="auto"/>
        </w:rPr>
      </w:pPr>
    </w:p>
    <w:tbl>
      <w:tblPr>
        <w:tblLayout w:type="fixed"/>
        <w:tblInd w:w="58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44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100" w:type="dxa"/>
            <w:vAlign w:val="bottom"/>
            <w:tcBorders>
              <w:bottom w:val="single" w:sz="8" w:color="auto"/>
            </w:tcBorders>
            <w:gridSpan w:val="3"/>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19"/>
        </w:trPr>
        <w:tc>
          <w:tcPr>
            <w:tcW w:w="56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u w:val="single" w:color="auto"/>
                <w:color w:val="auto"/>
                <w:w w:val="83"/>
              </w:rPr>
              <w:t>2019</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u w:val="single" w:color="auto"/>
                <w:color w:val="auto"/>
              </w:rPr>
              <w:t>2021</w:t>
            </w:r>
          </w:p>
        </w:tc>
        <w:tc>
          <w:tcPr>
            <w:tcW w:w="360" w:type="dxa"/>
            <w:vAlign w:val="bottom"/>
          </w:tcPr>
          <w:p>
            <w:pPr>
              <w:spacing w:after="0"/>
              <w:rPr>
                <w:sz w:val="10"/>
                <w:szCs w:val="10"/>
                <w:color w:val="auto"/>
              </w:rPr>
            </w:pPr>
          </w:p>
        </w:tc>
        <w:tc>
          <w:tcPr>
            <w:tcW w:w="60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2021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u w:val="single" w:color="auto"/>
                <w:color w:val="auto"/>
              </w:rPr>
              <w:t>2022</w:t>
            </w:r>
          </w:p>
        </w:tc>
        <w:tc>
          <w:tcPr>
            <w:tcW w:w="0" w:type="dxa"/>
            <w:vAlign w:val="bottom"/>
          </w:tcPr>
          <w:p>
            <w:pPr>
              <w:spacing w:after="0"/>
              <w:rPr>
                <w:sz w:val="1"/>
                <w:szCs w:val="1"/>
                <w:color w:val="auto"/>
              </w:rPr>
            </w:pPr>
          </w:p>
        </w:tc>
      </w:tr>
      <w:tr>
        <w:trPr>
          <w:trHeight w:val="178"/>
        </w:trPr>
        <w:tc>
          <w:tcPr>
            <w:tcW w:w="560" w:type="dxa"/>
            <w:vAlign w:val="bottom"/>
            <w:gridSpan w:val="2"/>
            <w:vMerge w:val="continue"/>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2"/>
              </w:rPr>
              <w:t>Restated*</w:t>
            </w:r>
          </w:p>
        </w:tc>
        <w:tc>
          <w:tcPr>
            <w:tcW w:w="920" w:type="dxa"/>
            <w:vAlign w:val="bottom"/>
            <w:gridSpan w:val="2"/>
            <w:vMerge w:val="continue"/>
          </w:tcPr>
          <w:p>
            <w:pPr>
              <w:spacing w:after="0"/>
              <w:rPr>
                <w:sz w:val="15"/>
                <w:szCs w:val="15"/>
                <w:color w:val="auto"/>
              </w:rPr>
            </w:pPr>
          </w:p>
        </w:tc>
        <w:tc>
          <w:tcPr>
            <w:tcW w:w="960" w:type="dxa"/>
            <w:vAlign w:val="bottom"/>
            <w:gridSpan w:val="2"/>
          </w:tcPr>
          <w:p>
            <w:pPr>
              <w:jc w:val="center"/>
              <w:ind w:left="268"/>
              <w:spacing w:after="0"/>
              <w:rPr>
                <w:sz w:val="20"/>
                <w:szCs w:val="20"/>
                <w:color w:val="auto"/>
              </w:rPr>
            </w:pPr>
            <w:r>
              <w:rPr>
                <w:rFonts w:ascii="Arial" w:cs="Arial" w:eastAsia="Arial" w:hAnsi="Arial"/>
                <w:sz w:val="14"/>
                <w:szCs w:val="14"/>
                <w:b w:val="1"/>
                <w:bCs w:val="1"/>
                <w:u w:val="single" w:color="auto"/>
                <w:color w:val="auto"/>
                <w:w w:val="95"/>
              </w:rPr>
              <w:t>Restated*</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6460"/>
        <w:spacing w:after="0" w:line="231" w:lineRule="auto"/>
        <w:rPr>
          <w:sz w:val="20"/>
          <w:szCs w:val="20"/>
          <w:color w:val="auto"/>
        </w:rPr>
      </w:pPr>
      <w:r>
        <w:rPr>
          <w:rFonts w:ascii="Arial" w:cs="Arial" w:eastAsia="Arial" w:hAnsi="Arial"/>
          <w:sz w:val="14"/>
          <w:szCs w:val="14"/>
          <w:b w:val="1"/>
          <w:bCs w:val="1"/>
          <w:color w:val="auto"/>
        </w:rPr>
        <w:t>($ in thousands, except for share data and per share data)</w:t>
      </w:r>
    </w:p>
    <w:p>
      <w:pPr>
        <w:spacing w:after="0" w:line="1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Summary Consolidated Statements of Comprehensive Income Data:</w:t>
            </w: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Service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Product revenues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107,145</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215,348</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315,865</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74,110</w:t>
            </w: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122,296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275,478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414,197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94,528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112,442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Cost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Services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(9,697)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(37,147)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(84,723)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(14,146)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Product sales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(90,405)</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(163,215)</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(239,877)</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(59,494)</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(66,371)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cost of revenues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(100,102)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(200,362)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(324,600)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(73,640)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(95,572)</w:t>
            </w:r>
          </w:p>
        </w:tc>
        <w:tc>
          <w:tcPr>
            <w:tcW w:w="0" w:type="dxa"/>
            <w:vAlign w:val="bottom"/>
          </w:tcPr>
          <w:p>
            <w:pPr>
              <w:spacing w:after="0"/>
              <w:rPr>
                <w:sz w:val="1"/>
                <w:szCs w:val="1"/>
                <w:color w:val="auto"/>
              </w:rPr>
            </w:pPr>
          </w:p>
        </w:tc>
      </w:tr>
      <w:tr>
        <w:trPr>
          <w:trHeight w:val="22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Gross profit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22,194</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75,116</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89,597</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20,888</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5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6"/>
                <w:szCs w:val="16"/>
                <w:color w:val="auto"/>
              </w:rPr>
              <w:t>Selling and marketing expenses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(12,680)</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(22,215)</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(25,728)</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(7,359)</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(5,562)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(4,712)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(8,717)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(24,516)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(2,941)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operating expenses</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(17,392)</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(30,932)</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(50,244)</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(10,300)</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4,802</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44,184</w:t>
            </w: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39,353</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(46)</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(309)</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(65)</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Foreign currency exchange gains (losses), net</w:t>
            </w:r>
          </w:p>
        </w:tc>
        <w:tc>
          <w:tcPr>
            <w:tcW w:w="700" w:type="dxa"/>
            <w:vAlign w:val="bottom"/>
          </w:tcPr>
          <w:p>
            <w:pPr>
              <w:jc w:val="right"/>
              <w:spacing w:after="0"/>
              <w:rPr>
                <w:sz w:val="20"/>
                <w:szCs w:val="20"/>
                <w:color w:val="auto"/>
              </w:rPr>
            </w:pPr>
            <w:r>
              <w:rPr>
                <w:rFonts w:ascii="Arial" w:cs="Arial" w:eastAsia="Arial" w:hAnsi="Arial"/>
                <w:sz w:val="16"/>
                <w:szCs w:val="16"/>
                <w:color w:val="auto"/>
              </w:rPr>
              <w:t>166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1,023</w:t>
            </w: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(2,012)</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(727)</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Others, net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Income before income taxes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4,802</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45,275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37,725</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9,933</w:t>
            </w: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(1,945)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(7,820)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(8,468)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(1,950)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(1,607)</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2,857</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37,455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29,257</w:t>
            </w:r>
          </w:p>
        </w:tc>
        <w:tc>
          <w:tcPr>
            <w:tcW w:w="3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7,983</w:t>
            </w: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Accretion of redeemable convertible preferred shares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Net income attributable to ordinary shareholders of our company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2,857</w:t>
            </w: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37,303</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27,757</w:t>
            </w:r>
          </w:p>
        </w:tc>
        <w:tc>
          <w:tcPr>
            <w:tcW w:w="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7,613</w:t>
            </w:r>
          </w:p>
        </w:tc>
        <w:tc>
          <w:tcPr>
            <w:tcW w:w="3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320" w:top="459" w:right="6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22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9221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3"/>
              </w:rPr>
              <w:t>For the Year Ended December 31,</w:t>
            </w:r>
          </w:p>
        </w:tc>
        <w:tc>
          <w:tcPr>
            <w:tcW w:w="740" w:type="dxa"/>
            <w:vAlign w:val="bottom"/>
            <w:gridSpan w:val="4"/>
            <w:vMerge w:val="restart"/>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8"/>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84"/>
              <w:spacing w:after="0" w:line="119" w:lineRule="exact"/>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9"/>
              </w:rPr>
              <w:t>Restated*</w:t>
            </w:r>
          </w:p>
        </w:tc>
        <w:tc>
          <w:tcPr>
            <w:tcW w:w="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2"/>
              </w:rPr>
              <w:t>Restated*</w:t>
            </w: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 in thousands,</w:t>
            </w:r>
          </w:p>
        </w:tc>
        <w:tc>
          <w:tcPr>
            <w:tcW w:w="2880" w:type="dxa"/>
            <w:vAlign w:val="bottom"/>
            <w:gridSpan w:val="12"/>
          </w:tcPr>
          <w:p>
            <w:pPr>
              <w:ind w:left="160"/>
              <w:spacing w:after="0" w:line="142" w:lineRule="exact"/>
              <w:rPr>
                <w:sz w:val="20"/>
                <w:szCs w:val="20"/>
                <w:color w:val="auto"/>
              </w:rPr>
            </w:pPr>
            <w:r>
              <w:rPr>
                <w:rFonts w:ascii="Arial" w:cs="Arial" w:eastAsia="Arial" w:hAnsi="Arial"/>
                <w:sz w:val="14"/>
                <w:szCs w:val="14"/>
                <w:b w:val="1"/>
                <w:bCs w:val="1"/>
                <w:color w:val="auto"/>
                <w:w w:val="98"/>
              </w:rPr>
              <w:t>except for share data and per share data)</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 net of nil income taxes</w:t>
            </w:r>
          </w:p>
        </w:tc>
        <w:tc>
          <w:tcPr>
            <w:tcW w:w="20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6"/>
                <w:szCs w:val="16"/>
                <w:color w:val="auto"/>
              </w:rPr>
              <w:t>(54)</w:t>
            </w:r>
          </w:p>
        </w:tc>
        <w:tc>
          <w:tcPr>
            <w:tcW w:w="1240" w:type="dxa"/>
            <w:vAlign w:val="bottom"/>
            <w:gridSpan w:val="3"/>
          </w:tcPr>
          <w:p>
            <w:pPr>
              <w:jc w:val="right"/>
              <w:ind w:right="168"/>
              <w:spacing w:after="0"/>
              <w:rPr>
                <w:sz w:val="20"/>
                <w:szCs w:val="20"/>
                <w:color w:val="auto"/>
              </w:rPr>
            </w:pPr>
            <w:r>
              <w:rPr>
                <w:rFonts w:ascii="Arial" w:cs="Arial" w:eastAsia="Arial" w:hAnsi="Arial"/>
                <w:sz w:val="16"/>
                <w:szCs w:val="16"/>
                <w:color w:val="auto"/>
              </w:rPr>
              <w:t>(364)</w:t>
            </w:r>
          </w:p>
        </w:tc>
        <w:tc>
          <w:tcPr>
            <w:tcW w:w="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0"/>
        </w:trPr>
        <w:tc>
          <w:tcPr>
            <w:tcW w:w="5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other comprehensive income (loss)</w:t>
            </w:r>
          </w:p>
        </w:tc>
        <w:tc>
          <w:tcPr>
            <w:tcW w:w="2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w:t>
            </w:r>
          </w:p>
        </w:tc>
        <w:tc>
          <w:tcPr>
            <w:tcW w:w="1240" w:type="dxa"/>
            <w:vAlign w:val="bottom"/>
            <w:gridSpan w:val="3"/>
            <w:shd w:val="clear" w:color="auto" w:fill="CCEEFF"/>
          </w:tcPr>
          <w:p>
            <w:pPr>
              <w:jc w:val="right"/>
              <w:ind w:right="168"/>
              <w:spacing w:after="0"/>
              <w:rPr>
                <w:sz w:val="20"/>
                <w:szCs w:val="20"/>
                <w:color w:val="auto"/>
              </w:rPr>
            </w:pPr>
            <w:r>
              <w:rPr>
                <w:rFonts w:ascii="Arial" w:cs="Arial" w:eastAsia="Arial" w:hAnsi="Arial"/>
                <w:sz w:val="16"/>
                <w:szCs w:val="16"/>
                <w:b w:val="1"/>
                <w:bCs w:val="1"/>
                <w:color w:val="auto"/>
              </w:rPr>
              <w:t>(364)</w:t>
            </w:r>
          </w:p>
        </w:tc>
        <w:tc>
          <w:tcPr>
            <w:tcW w:w="2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(35)</w:t>
            </w:r>
          </w:p>
        </w:tc>
        <w:tc>
          <w:tcPr>
            <w:tcW w:w="3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20"/>
        </w:trPr>
        <w:tc>
          <w:tcPr>
            <w:tcW w:w="5320" w:type="dxa"/>
            <w:vAlign w:val="bottom"/>
          </w:tcPr>
          <w:p>
            <w:pPr>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2,803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37,091</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29,380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7,948</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320" w:top="459" w:right="639" w:bottom="1440" w:gutter="0" w:footer="0" w:header="0"/>
        </w:sectPr>
      </w:pPr>
    </w:p>
    <w:p>
      <w:pPr>
        <w:ind w:left="300"/>
        <w:spacing w:after="0"/>
        <w:rPr>
          <w:sz w:val="20"/>
          <w:szCs w:val="20"/>
          <w:color w:val="auto"/>
        </w:rPr>
      </w:pPr>
      <w:r>
        <w:rPr>
          <w:rFonts w:ascii="Arial" w:cs="Arial" w:eastAsia="Arial" w:hAnsi="Arial"/>
          <w:sz w:val="16"/>
          <w:szCs w:val="16"/>
          <w:b w:val="1"/>
          <w:bCs w:val="1"/>
          <w:color w:val="auto"/>
        </w:rPr>
        <w:t>Net income per ordinary share</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—Basic and diluted</w:t>
      </w:r>
    </w:p>
    <w:p>
      <w:pPr>
        <w:spacing w:after="0" w:line="24" w:lineRule="exact"/>
        <w:rPr>
          <w:sz w:val="20"/>
          <w:szCs w:val="20"/>
          <w:color w:val="auto"/>
        </w:rPr>
      </w:pPr>
    </w:p>
    <w:p>
      <w:pPr>
        <w:ind w:left="460" w:right="160" w:hanging="161"/>
        <w:spacing w:after="0" w:line="269" w:lineRule="auto"/>
        <w:rPr>
          <w:sz w:val="20"/>
          <w:szCs w:val="20"/>
          <w:color w:val="auto"/>
        </w:rPr>
      </w:pPr>
      <w:r>
        <w:rPr>
          <w:rFonts w:ascii="Arial" w:cs="Arial" w:eastAsia="Arial" w:hAnsi="Arial"/>
          <w:sz w:val="16"/>
          <w:szCs w:val="16"/>
          <w:b w:val="1"/>
          <w:bCs w:val="1"/>
          <w:color w:val="auto"/>
        </w:rPr>
        <w:t>Weighted average number of ordinary shares outstanding used in computing net income per ordinary share</w:t>
      </w:r>
    </w:p>
    <w:p>
      <w:pPr>
        <w:ind w:left="300"/>
        <w:spacing w:after="0"/>
        <w:rPr>
          <w:sz w:val="20"/>
          <w:szCs w:val="20"/>
          <w:color w:val="auto"/>
        </w:rPr>
      </w:pPr>
      <w:r>
        <w:rPr>
          <w:rFonts w:ascii="Arial" w:cs="Arial" w:eastAsia="Arial" w:hAnsi="Arial"/>
          <w:sz w:val="16"/>
          <w:szCs w:val="16"/>
          <w:color w:val="auto"/>
        </w:rPr>
        <w:t>—Basic and diluted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0.11</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1.36</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0.88</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0.25</w:t>
            </w: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621"/>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87"/>
              </w:rPr>
              <w:t>9,495,844</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9,495,844</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10,248,079</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9,495,844</w:t>
            </w:r>
          </w:p>
        </w:tc>
        <w:tc>
          <w:tcPr>
            <w:tcW w:w="1020" w:type="dxa"/>
            <w:vAlign w:val="bottom"/>
          </w:tcPr>
          <w:p>
            <w:pPr>
              <w:jc w:val="right"/>
              <w:spacing w:after="0"/>
              <w:rPr>
                <w:sz w:val="20"/>
                <w:szCs w:val="20"/>
                <w:color w:val="auto"/>
              </w:rPr>
            </w:pPr>
            <w:r>
              <w:rPr>
                <w:rFonts w:ascii="Arial" w:cs="Arial" w:eastAsia="Arial" w:hAnsi="Arial"/>
                <w:sz w:val="16"/>
                <w:szCs w:val="16"/>
                <w:color w:val="auto"/>
              </w:rPr>
              <w:t>12,999,986</w:t>
            </w:r>
          </w:p>
        </w:tc>
      </w:tr>
    </w:tbl>
    <w:p>
      <w:pPr>
        <w:spacing w:after="0" w:line="176" w:lineRule="exact"/>
        <w:rPr>
          <w:sz w:val="20"/>
          <w:szCs w:val="20"/>
          <w:color w:val="auto"/>
        </w:rPr>
      </w:pPr>
    </w:p>
    <w:p>
      <w:pPr>
        <w:sectPr>
          <w:pgSz w:w="11900" w:h="16838" w:orient="portrait"/>
          <w:cols w:equalWidth="0" w:num="2">
            <w:col w:w="4980" w:space="720"/>
            <w:col w:w="5240"/>
          </w:cols>
          <w:pgMar w:left="320" w:top="459" w:right="639" w:bottom="1440" w:gutter="0" w:footer="0" w:header="0"/>
          <w:type w:val="continuous"/>
        </w:sectPr>
      </w:pPr>
    </w:p>
    <w:p>
      <w:pPr>
        <w:ind w:left="720" w:right="200" w:hanging="422"/>
        <w:spacing w:after="0" w:line="253"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91"/>
        </w:trPr>
        <w:tc>
          <w:tcPr>
            <w:tcW w:w="6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3"/>
              </w:rPr>
              <w:t>As of December 31,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35"/>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tcPr>
          <w:p>
            <w:pPr>
              <w:jc w:val="right"/>
              <w:spacing w:after="0" w:line="13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3"/>
          </w:tcPr>
          <w:p>
            <w:pPr>
              <w:jc w:val="right"/>
              <w:ind w:right="40"/>
              <w:spacing w:after="0" w:line="135"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8"/>
          </w:tcPr>
          <w:p>
            <w:pPr>
              <w:jc w:val="right"/>
              <w:ind w:right="288"/>
              <w:spacing w:after="0"/>
              <w:rPr>
                <w:sz w:val="20"/>
                <w:szCs w:val="20"/>
                <w:color w:val="auto"/>
              </w:rPr>
            </w:pPr>
            <w:r>
              <w:rPr>
                <w:rFonts w:ascii="Arial" w:cs="Arial" w:eastAsia="Arial" w:hAnsi="Arial"/>
                <w:sz w:val="14"/>
                <w:szCs w:val="14"/>
                <w:b w:val="1"/>
                <w:bCs w:val="1"/>
                <w:color w:val="auto"/>
                <w:w w:val="90"/>
              </w:rPr>
              <w:t>($ in thousands)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24,020</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35,578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81,441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w w:val="95"/>
              </w:rPr>
              <w:t>110,744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132,369</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172,419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187,309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5,974</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14,358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159,902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138,343</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186,777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5"/>
              </w:rPr>
              <w:t>347,211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18,831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25,140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57,044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100,722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2,665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3,901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w w:val="95"/>
              </w:rPr>
              <w:t>115,788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51,572</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60,945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216,510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mezzanine equity</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25,152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26,652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rPr>
              <w:t>27,022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61,619</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99,180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103,679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liabilities, mezzanine equity and shareholders’ equity</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138,343</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186,777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w w:val="95"/>
              </w:rPr>
              <w:t>347,211</w:t>
            </w:r>
          </w:p>
        </w:tc>
        <w:tc>
          <w:tcPr>
            <w:tcW w:w="0" w:type="dxa"/>
            <w:vAlign w:val="bottom"/>
          </w:tcPr>
          <w:p>
            <w:pPr>
              <w:spacing w:after="0"/>
              <w:rPr>
                <w:sz w:val="1"/>
                <w:szCs w:val="1"/>
                <w:color w:val="auto"/>
              </w:rPr>
            </w:pPr>
          </w:p>
        </w:tc>
      </w:tr>
      <w:tr>
        <w:trPr>
          <w:trHeight w:val="354"/>
        </w:trPr>
        <w:tc>
          <w:tcPr>
            <w:tcW w:w="6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5"/>
              </w:rPr>
              <w:t>For the Year Ended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9"/>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9"/>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4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Summary Consolidated Statement of Cash Flow Data:</w:t>
            </w:r>
          </w:p>
        </w:tc>
        <w:tc>
          <w:tcPr>
            <w:tcW w:w="7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70"/>
              </w:rPr>
              <w:t>2021</w:t>
            </w:r>
          </w:p>
        </w:tc>
        <w:tc>
          <w:tcPr>
            <w:tcW w:w="180" w:type="dxa"/>
            <w:vAlign w:val="bottom"/>
          </w:tcPr>
          <w:p>
            <w:pPr>
              <w:spacing w:after="0"/>
              <w:rPr>
                <w:sz w:val="12"/>
                <w:szCs w:val="12"/>
                <w:color w:val="auto"/>
              </w:rPr>
            </w:pPr>
          </w:p>
        </w:tc>
        <w:tc>
          <w:tcPr>
            <w:tcW w:w="3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4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10"/>
          </w:tcPr>
          <w:p>
            <w:pPr>
              <w:jc w:val="right"/>
              <w:ind w:right="608"/>
              <w:spacing w:after="0"/>
              <w:rPr>
                <w:sz w:val="20"/>
                <w:szCs w:val="20"/>
                <w:color w:val="auto"/>
              </w:rPr>
            </w:pPr>
            <w:r>
              <w:rPr>
                <w:rFonts w:ascii="Arial" w:cs="Arial" w:eastAsia="Arial" w:hAnsi="Arial"/>
                <w:sz w:val="14"/>
                <w:szCs w:val="14"/>
                <w:b w:val="1"/>
                <w:bCs w:val="1"/>
                <w:color w:val="auto"/>
                <w:w w:val="90"/>
              </w:rPr>
              <w:t>($ in thousands)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1,157</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33,284</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8,556</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w w:val="91"/>
              </w:rPr>
              <w:t>(6,459)</w:t>
            </w:r>
          </w:p>
        </w:tc>
        <w:tc>
          <w:tcPr>
            <w:tcW w:w="7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5"/>
              </w:rPr>
              <w:t>(14,512)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(647)</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(1,825)</w:t>
            </w:r>
          </w:p>
        </w:tc>
        <w:tc>
          <w:tcPr>
            <w:tcW w:w="180" w:type="dxa"/>
            <w:vAlign w:val="bottom"/>
          </w:tcPr>
          <w:p>
            <w:pPr>
              <w:spacing w:after="0"/>
              <w:rPr>
                <w:sz w:val="18"/>
                <w:szCs w:val="18"/>
                <w:color w:val="auto"/>
              </w:rPr>
            </w:pPr>
          </w:p>
        </w:tc>
        <w:tc>
          <w:tcPr>
            <w:tcW w:w="700" w:type="dxa"/>
            <w:vAlign w:val="bottom"/>
            <w:gridSpan w:val="5"/>
          </w:tcPr>
          <w:p>
            <w:pPr>
              <w:jc w:val="right"/>
              <w:ind w:right="88"/>
              <w:spacing w:after="0"/>
              <w:rPr>
                <w:sz w:val="20"/>
                <w:szCs w:val="20"/>
                <w:color w:val="auto"/>
              </w:rPr>
            </w:pPr>
            <w:r>
              <w:rPr>
                <w:rFonts w:ascii="Arial" w:cs="Arial" w:eastAsia="Arial" w:hAnsi="Arial"/>
                <w:sz w:val="18"/>
                <w:szCs w:val="18"/>
                <w:color w:val="auto"/>
              </w:rPr>
              <w:t>(594)</w:t>
            </w: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89</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23,272</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(2,956)</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(530)</w:t>
            </w: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Effect of foreign currency exchange rate changes on cash and restricted cash</w:t>
            </w:r>
          </w:p>
        </w:tc>
        <w:tc>
          <w:tcPr>
            <w:tcW w:w="1240" w:type="dxa"/>
            <w:vAlign w:val="bottom"/>
            <w:gridSpan w:val="3"/>
          </w:tcPr>
          <w:p>
            <w:pPr>
              <w:jc w:val="right"/>
              <w:ind w:right="8"/>
              <w:spacing w:after="0"/>
              <w:rPr>
                <w:sz w:val="20"/>
                <w:szCs w:val="20"/>
                <w:color w:val="auto"/>
              </w:rPr>
            </w:pPr>
            <w:r>
              <w:rPr>
                <w:rFonts w:ascii="Arial" w:cs="Arial" w:eastAsia="Arial" w:hAnsi="Arial"/>
                <w:sz w:val="18"/>
                <w:szCs w:val="18"/>
                <w:color w:val="auto"/>
              </w:rPr>
              <w:t>139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735</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8"/>
                <w:szCs w:val="18"/>
                <w:color w:val="auto"/>
              </w:rPr>
            </w:pPr>
          </w:p>
        </w:tc>
        <w:tc>
          <w:tcPr>
            <w:tcW w:w="700" w:type="dxa"/>
            <w:vAlign w:val="bottom"/>
            <w:gridSpan w:val="5"/>
          </w:tcPr>
          <w:p>
            <w:pPr>
              <w:jc w:val="right"/>
              <w:ind w:right="88"/>
              <w:spacing w:after="0"/>
              <w:rPr>
                <w:sz w:val="20"/>
                <w:szCs w:val="20"/>
                <w:color w:val="auto"/>
              </w:rPr>
            </w:pPr>
            <w:r>
              <w:rPr>
                <w:rFonts w:ascii="Arial" w:cs="Arial" w:eastAsia="Arial" w:hAnsi="Arial"/>
                <w:sz w:val="18"/>
                <w:szCs w:val="18"/>
                <w:color w:val="auto"/>
              </w:rPr>
              <w:t>(3)</w:t>
            </w: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restricted cash</w:t>
            </w:r>
          </w:p>
        </w:tc>
        <w:tc>
          <w:tcPr>
            <w:tcW w:w="12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441</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56,644</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w w:val="91"/>
              </w:rPr>
              <w:t>(7,586)</w:t>
            </w:r>
          </w:p>
        </w:tc>
        <w:tc>
          <w:tcPr>
            <w:tcW w:w="7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5"/>
              </w:rPr>
              <w:t>(14,336)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and restricted cash at the beginning of the year</w:t>
            </w:r>
          </w:p>
        </w:tc>
        <w:tc>
          <w:tcPr>
            <w:tcW w:w="1240" w:type="dxa"/>
            <w:vAlign w:val="bottom"/>
            <w:gridSpan w:val="3"/>
          </w:tcPr>
          <w:p>
            <w:pPr>
              <w:jc w:val="right"/>
              <w:ind w:right="8"/>
              <w:spacing w:after="0"/>
              <w:rPr>
                <w:sz w:val="20"/>
                <w:szCs w:val="20"/>
                <w:color w:val="auto"/>
              </w:rPr>
            </w:pPr>
            <w:r>
              <w:rPr>
                <w:rFonts w:ascii="Arial" w:cs="Arial" w:eastAsia="Arial" w:hAnsi="Arial"/>
                <w:sz w:val="18"/>
                <w:szCs w:val="18"/>
                <w:color w:val="auto"/>
              </w:rPr>
              <w:t>5,112</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5,553</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62,197</w:t>
            </w:r>
          </w:p>
        </w:tc>
        <w:tc>
          <w:tcPr>
            <w:tcW w:w="880" w:type="dxa"/>
            <w:vAlign w:val="bottom"/>
            <w:gridSpan w:val="6"/>
          </w:tcPr>
          <w:p>
            <w:pPr>
              <w:jc w:val="right"/>
              <w:ind w:right="148"/>
              <w:spacing w:after="0"/>
              <w:rPr>
                <w:sz w:val="20"/>
                <w:szCs w:val="20"/>
                <w:color w:val="auto"/>
              </w:rPr>
            </w:pPr>
            <w:r>
              <w:rPr>
                <w:rFonts w:ascii="Arial" w:cs="Arial" w:eastAsia="Arial" w:hAnsi="Arial"/>
                <w:sz w:val="18"/>
                <w:szCs w:val="18"/>
                <w:color w:val="auto"/>
              </w:rPr>
              <w:t>62,197</w:t>
            </w: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63,862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the end of the year</w:t>
            </w:r>
          </w:p>
        </w:tc>
        <w:tc>
          <w:tcPr>
            <w:tcW w:w="12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5,553</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62,197</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63,862</w:t>
            </w:r>
          </w:p>
        </w:tc>
        <w:tc>
          <w:tcPr>
            <w:tcW w:w="880" w:type="dxa"/>
            <w:vAlign w:val="bottom"/>
            <w:gridSpan w:val="6"/>
            <w:shd w:val="clear" w:color="auto" w:fill="CCEEFF"/>
          </w:tcPr>
          <w:p>
            <w:pPr>
              <w:jc w:val="right"/>
              <w:ind w:right="148"/>
              <w:spacing w:after="0"/>
              <w:rPr>
                <w:sz w:val="20"/>
                <w:szCs w:val="20"/>
                <w:color w:val="auto"/>
              </w:rPr>
            </w:pPr>
            <w:r>
              <w:rPr>
                <w:rFonts w:ascii="Arial" w:cs="Arial" w:eastAsia="Arial" w:hAnsi="Arial"/>
                <w:sz w:val="18"/>
                <w:szCs w:val="18"/>
                <w:color w:val="auto"/>
              </w:rPr>
              <w:t>54,611</w:t>
            </w: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49,526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300" w:right="200" w:firstLine="852"/>
        <w:spacing w:after="0" w:line="26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U.S. GAAP, we use Adjusted EBITDA, which is net income excluding interest, income taxes and depreciation, further adjusted to exclude share-based compensation expenses, a non-GAAP financial measure, to</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20"/>
        <w:spacing w:after="0" w:line="259" w:lineRule="auto"/>
        <w:rPr>
          <w:sz w:val="20"/>
          <w:szCs w:val="20"/>
          <w:color w:val="auto"/>
        </w:rPr>
      </w:pPr>
      <w:r>
        <w:rPr>
          <w:rFonts w:ascii="Arial" w:cs="Arial" w:eastAsia="Arial" w:hAnsi="Arial"/>
          <w:sz w:val="18"/>
          <w:szCs w:val="18"/>
          <w:color w:val="auto"/>
        </w:rPr>
        <w:t>understand and evaluate our core operating performance. Non-GAAP financial measure,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 The table below sets forth a reconciliation of Adjusted EBITDA from net income for the periods indicated:</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11"/>
          </w:tcPr>
          <w:p>
            <w:pPr>
              <w:jc w:val="center"/>
              <w:ind w:right="900"/>
              <w:spacing w:after="0"/>
              <w:rPr>
                <w:sz w:val="20"/>
                <w:szCs w:val="20"/>
                <w:color w:val="auto"/>
              </w:rPr>
            </w:pPr>
            <w:r>
              <w:rPr>
                <w:rFonts w:ascii="Arial" w:cs="Arial" w:eastAsia="Arial" w:hAnsi="Arial"/>
                <w:sz w:val="14"/>
                <w:szCs w:val="14"/>
                <w:b w:val="1"/>
                <w:bCs w:val="1"/>
                <w:color w:val="auto"/>
                <w:w w:val="95"/>
              </w:rPr>
              <w:t>For the Year Ended</w:t>
            </w:r>
          </w:p>
        </w:tc>
        <w:tc>
          <w:tcPr>
            <w:tcW w:w="15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Ended March 31,</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7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Restated*</w:t>
            </w:r>
          </w:p>
        </w:tc>
        <w:tc>
          <w:tcPr>
            <w:tcW w:w="7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Restated*</w:t>
            </w: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3"/>
              </w:rPr>
              <w:t>($ in</w:t>
            </w: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8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8"/>
              </w:rPr>
              <w:t>thousands)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37,455</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29,257</w:t>
            </w:r>
          </w:p>
        </w:tc>
        <w:tc>
          <w:tcPr>
            <w:tcW w:w="3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Add: Income tax expense</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1,945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7,820</w:t>
            </w:r>
          </w:p>
        </w:tc>
        <w:tc>
          <w:tcPr>
            <w:tcW w:w="18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8,468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w:t>
            </w: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Interest income</w:t>
            </w:r>
          </w:p>
        </w:tc>
        <w:tc>
          <w:tcPr>
            <w:tcW w:w="600" w:type="dxa"/>
            <w:vAlign w:val="bottom"/>
            <w:gridSpan w:val="5"/>
          </w:tcPr>
          <w:p>
            <w:pPr>
              <w:jc w:val="right"/>
              <w:ind w:right="8"/>
              <w:spacing w:after="0"/>
              <w:rPr>
                <w:sz w:val="20"/>
                <w:szCs w:val="20"/>
                <w:color w:val="auto"/>
              </w:rPr>
            </w:pPr>
            <w:r>
              <w:rPr>
                <w:rFonts w:ascii="Arial" w:cs="Arial" w:eastAsia="Arial" w:hAnsi="Arial"/>
                <w:sz w:val="18"/>
                <w:szCs w:val="18"/>
                <w:color w:val="auto"/>
              </w:rPr>
              <w:t>(2)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1000" w:type="dxa"/>
            <w:vAlign w:val="bottom"/>
            <w:gridSpan w:val="6"/>
          </w:tcPr>
          <w:p>
            <w:pPr>
              <w:jc w:val="right"/>
              <w:ind w:right="24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9"/>
                <w:szCs w:val="19"/>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9,681</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45,490</w:t>
            </w: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47,953</w:t>
            </w:r>
          </w:p>
        </w:tc>
        <w:tc>
          <w:tcPr>
            <w:tcW w:w="3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200" w:hanging="422"/>
        <w:spacing w:after="0" w:line="253"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Financial and Operating Metrics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certain key financial and operating metrics for the periods presented: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3"/>
              </w:rPr>
              <w:t>For the Year Ended December 31,</w:t>
            </w:r>
          </w:p>
        </w:tc>
        <w:tc>
          <w:tcPr>
            <w:tcW w:w="3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For the 12 Months</w:t>
            </w:r>
          </w:p>
        </w:tc>
        <w:tc>
          <w:tcPr>
            <w:tcW w:w="0" w:type="dxa"/>
            <w:vAlign w:val="bottom"/>
          </w:tcPr>
          <w:p>
            <w:pPr>
              <w:spacing w:after="0"/>
              <w:rPr>
                <w:sz w:val="1"/>
                <w:szCs w:val="1"/>
                <w:color w:val="auto"/>
              </w:rPr>
            </w:pPr>
          </w:p>
        </w:tc>
      </w:t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GigaCloud Marketplace:</w:t>
            </w: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Borders>
              <w:bottom w:val="single" w:sz="8" w:color="auto"/>
            </w:tcBorders>
            <w:gridSpan w:val="7"/>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3"/>
              </w:rPr>
              <w:t>2022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GigaCloud Marketplace GMV (in $ thousands)</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$35,468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$190,480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$ 414,192</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$ 259,050</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$ 438,126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Active 3P sellers</w:t>
            </w:r>
          </w:p>
        </w:tc>
        <w:tc>
          <w:tcPr>
            <w:tcW w:w="2100" w:type="dxa"/>
            <w:vAlign w:val="bottom"/>
            <w:gridSpan w:val="4"/>
          </w:tcPr>
          <w:p>
            <w:pPr>
              <w:jc w:val="right"/>
              <w:ind w:right="120"/>
              <w:spacing w:after="0"/>
              <w:rPr>
                <w:sz w:val="20"/>
                <w:szCs w:val="20"/>
                <w:color w:val="auto"/>
              </w:rPr>
            </w:pPr>
            <w:r>
              <w:rPr>
                <w:rFonts w:ascii="Arial" w:cs="Arial" w:eastAsia="Arial" w:hAnsi="Arial"/>
                <w:sz w:val="18"/>
                <w:szCs w:val="18"/>
                <w:color w:val="auto"/>
              </w:rPr>
              <w:t>71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382</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236</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Active buyers</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3,566</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2,138</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Spend per active buyer (in $)</w:t>
            </w:r>
          </w:p>
        </w:tc>
        <w:tc>
          <w:tcPr>
            <w:tcW w:w="2100" w:type="dxa"/>
            <w:vAlign w:val="bottom"/>
            <w:gridSpan w:val="4"/>
          </w:tcPr>
          <w:p>
            <w:pPr>
              <w:jc w:val="right"/>
              <w:ind w:right="120"/>
              <w:spacing w:after="0"/>
              <w:rPr>
                <w:sz w:val="20"/>
                <w:szCs w:val="20"/>
                <w:color w:val="auto"/>
              </w:rPr>
            </w:pPr>
            <w:r>
              <w:rPr>
                <w:rFonts w:ascii="Arial" w:cs="Arial" w:eastAsia="Arial" w:hAnsi="Arial"/>
                <w:sz w:val="18"/>
                <w:szCs w:val="18"/>
                <w:color w:val="auto"/>
              </w:rPr>
              <w:t>$80,427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$ 112,777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$ 116,150</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$ 121,165</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$ 115,845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340" w:firstLine="852"/>
        <w:spacing w:after="0" w:line="277" w:lineRule="auto"/>
        <w:rPr>
          <w:sz w:val="20"/>
          <w:szCs w:val="20"/>
          <w:color w:val="auto"/>
        </w:rPr>
      </w:pPr>
      <w:r>
        <w:rPr>
          <w:rFonts w:ascii="Arial" w:cs="Arial" w:eastAsia="Arial" w:hAnsi="Arial"/>
          <w:sz w:val="18"/>
          <w:szCs w:val="18"/>
          <w:color w:val="auto"/>
        </w:rPr>
        <w:t>For additional information about our key financial and operating metrics, see “Management’s Discussion and Analysis of Financial Condition and Results of Operations—Key Financial and Operating Metrics.”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 Transfers and Dividend Distribution</w:t>
      </w:r>
    </w:p>
    <w:p>
      <w:pPr>
        <w:spacing w:after="0" w:line="229" w:lineRule="exact"/>
        <w:rPr>
          <w:sz w:val="20"/>
          <w:szCs w:val="20"/>
          <w:color w:val="auto"/>
        </w:rPr>
      </w:pPr>
    </w:p>
    <w:p>
      <w:pPr>
        <w:jc w:val="both"/>
        <w:ind w:left="300" w:right="40" w:firstLine="852"/>
        <w:spacing w:after="0" w:line="263" w:lineRule="auto"/>
        <w:rPr>
          <w:sz w:val="20"/>
          <w:szCs w:val="20"/>
          <w:color w:val="auto"/>
        </w:rPr>
      </w:pPr>
      <w:r>
        <w:rPr>
          <w:rFonts w:ascii="Arial" w:cs="Arial" w:eastAsia="Arial" w:hAnsi="Arial"/>
          <w:sz w:val="18"/>
          <w:szCs w:val="18"/>
          <w:color w:val="auto"/>
        </w:rPr>
        <w:t>GigaCloud Technology Inc is a holding company incorporated in the Cayman Islands and not a direct Chinese or Hong Kong operating company. As a holding company with no material operations of its own, GigaCloud Technology Inc conducts its operations through its subsidiaries and consolidated VIEs.</w:t>
      </w:r>
    </w:p>
    <w:p>
      <w:pPr>
        <w:spacing w:after="0" w:line="184"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have operations in many locations globally through our principal subsidiaries incorporated in mainland China, Hong Kong, Japan and the U.S. and our principal consolidated VIEs incorporated in the U.S. and the U.K. If needed, cash can be transferred between our holding company and subsidiaries through intercompany fund advances.</w:t>
      </w:r>
    </w:p>
    <w:p>
      <w:pPr>
        <w:spacing w:after="0" w:line="184" w:lineRule="exact"/>
        <w:rPr>
          <w:sz w:val="20"/>
          <w:szCs w:val="20"/>
          <w:color w:val="auto"/>
        </w:rPr>
      </w:pPr>
    </w:p>
    <w:p>
      <w:pPr>
        <w:ind w:left="300" w:right="660" w:firstLine="852"/>
        <w:spacing w:after="0" w:line="277" w:lineRule="auto"/>
        <w:rPr>
          <w:sz w:val="20"/>
          <w:szCs w:val="20"/>
          <w:color w:val="auto"/>
        </w:rPr>
      </w:pPr>
      <w:r>
        <w:rPr>
          <w:rFonts w:ascii="Arial" w:cs="Arial" w:eastAsia="Arial" w:hAnsi="Arial"/>
          <w:sz w:val="18"/>
          <w:szCs w:val="18"/>
          <w:color w:val="auto"/>
        </w:rPr>
        <w:t>In 2019, GigaCloud Technology Inc, our Cayman Islands holding company (i) received a total of $4.4 million in cash from our subsidiaries and our consolidated VIEs, of which nil was from our Hong Kong</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Subsidiary or PRC Subsidiaries; and (ii) transferred a total of $3.3 million in cash to our subsidiaries and our consolidated VIEs, of which $1.0</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million was to our Hong Kong Subsidiary and $1.4 million was to Suzhou GigaCloud. In 2020, GigaCloud Technology Inc (i) received a total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$12.3 million in cash from our subsidiaries and our consolidated VIEs, of which $1.1 million was from our Hong Kong Subsidiary and nil from our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PRC Subsidiaries; and (ii) transferred a total of $2.1 million in cash to our subsidiaries and our consolidated VIEs, of which $1.8 million was to our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Hong Kong Subsidiary. In 2021, GigaCloud Technology Inc (i) received a total of $6.7 million in cash, of which $6.7 million was from our Hong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Kong Subsidiary; and (ii) transferred a total of $18.6 million in cash to our subsidiaries, of which $18.5 million was to our Hong Kong Subsidiary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$0.1 million was to GigaCloud Trading (HongKong) Limited. In the three months ended March 31, 2022, GigaCloud Technology Inc (i) did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 receive any cash transfer from our subsidiaries or consolidated VIEs; and (ii) transferred a total of $10.1 million to our subsidiaries, of which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 million was to our Hong Kong Subsidiary and $0.1 million was to GigaCloud Trading (HongKong) Limited. Suzhou GigaCloud was a</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consolidated VIE in mainland China from 2018 to February 2021, and we acquired 100% of the equity interest in Suzhou GigaCloud in February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2021, which then became our indirect wholly-owned subsidiary. In 2019, Suzhou GigaCloud did not have any transfers, dividends or distributions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our Cayman Islands holding company or other intercompany entities. In 2020 and 2021, Suzhou GigaCloud received a total of $0.4 million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$1.5 million, respectively, in cash from our Hong Kong Subsidiary. In the three months ended March 31, 2022, Suzhou GigaCloud received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of $0.3 million in cash from our Hong Kong Subsidiary. In 2020 and 2021, Suzhou GigaCloud transferred a total of nil and $0.5 million,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respectively, in cash to our subsidiary in Japan and our consolidated VIE in the U.S. In the three months ended March 31, 2022, Suzhou GigaCloud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did not have any transfers, dividends or distributions with our Cayman Islands holding company or other intercompany entities. In 2019, 2020,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2021 and the three months ended March 31, 2022, GigaCloud Technology (Suzhou) Co., Ltd., our wholly-owned subsidiary in mainland China,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transferred a total of $0.04 million, nil, $0.06 million, nil, respectively, in cash to our subsidiaries in mainland China. In 2019, 2020, 2021 and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three months ended March 31, 2022, GigaCloud Technology (Suzhou) Co., Ltd. received a total of $3.1 million in cash, of which $1.7 million was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from our Hong Kong Subsidiary and $1.4 million was from GigaCloud Technology Inc, $4.6 million in cash from our Hong Kong Subsidiary,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$15.1 million in cash, of which $15.0 million was from our Hong Kong Subsidiary and $0.1 million was from one of our PRC Subsidiaries,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$2.9 million in cash from our Hong Kong Subsidiary, respectively. As of the date of this prospectus, other than the cash transfer described hereto,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there were no transfer of other assets between our Cayman Islands holding company, our subsidiaries and consolidated VIEs. Our subsidiaries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consolidated VIEs have never made any dividends or distributions to our Cayman Islands holding company, or to investors. Similarly, our Cayman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Islands holding company has not declared or made any dividend or other distribution to its shareholders, including U.S. investors, in the past.</w:t>
      </w:r>
    </w:p>
    <w:p>
      <w:pPr>
        <w:spacing w:after="0" w:line="222" w:lineRule="exact"/>
        <w:rPr>
          <w:sz w:val="20"/>
          <w:szCs w:val="20"/>
          <w:color w:val="auto"/>
        </w:rPr>
      </w:pPr>
    </w:p>
    <w:p>
      <w:pPr>
        <w:ind w:left="300" w:firstLine="852"/>
        <w:spacing w:after="0" w:line="268" w:lineRule="auto"/>
        <w:rPr>
          <w:sz w:val="20"/>
          <w:szCs w:val="20"/>
          <w:color w:val="auto"/>
        </w:rPr>
      </w:pPr>
      <w:r>
        <w:rPr>
          <w:rFonts w:ascii="Arial" w:cs="Arial" w:eastAsia="Arial" w:hAnsi="Arial"/>
          <w:sz w:val="17"/>
          <w:szCs w:val="17"/>
          <w:color w:val="auto"/>
        </w:rPr>
        <w:t>If we decide to pay dividends on any of our ordinary shares in the future, as a holding company, we will be dependent on receipt of funds from our principal subsidiaries in Hong Kong, Japan and the U.S. and our principal consolidated VIEs in the U.S. and the U.K. There are currently no restrictions on foreign exchange and our ability to transfer cash among our Cayman Islands holding company and our principal subsidiaries and consolidated VIEs, as applicable, in Hong Kong, Japan, the U.S. and the U.K., or to investors. Although we did not rely on our PRC Subsidiaries in dividends or other distributions on equity in the past, in the event that our PRC Subsidiaries were to issue dividends or distribution to us out of mainland China in the future, our PRC Subsidiaries may be subject to the applicable foreign currency control. To date, there have not been any such dividends or other distributions from our PRC Subsidiaries to our subsidiaries located outside of mainland China. In addition, save as disclosed above, as of the date of this prospectus, none of our subsidiaries have ever issued any dividends or distributions to us or their respective shareholders outside of mainland China. In the PRC, the PRC government imposes controls on the convertibility of the Renminbi into foreign currencies and the remittance of currency out of mainland China which may restrict our PRC Subsidiaries’ ability to transfer cash from our PRC Subsidiaries to our other non-mainland China entities. To the extent cash is generated in our PRC Subsidiaries, and may need to be used to fund operations outside of mainland China, such funds may not be available due to limitations placed by the PRC government. Furthermore, to the extent assets (other than cash) in</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7" w:lineRule="auto"/>
        <w:rPr>
          <w:sz w:val="20"/>
          <w:szCs w:val="20"/>
          <w:color w:val="auto"/>
        </w:rPr>
      </w:pPr>
      <w:r>
        <w:rPr>
          <w:rFonts w:ascii="Arial" w:cs="Arial" w:eastAsia="Arial" w:hAnsi="Arial"/>
          <w:sz w:val="17"/>
          <w:szCs w:val="17"/>
          <w:color w:val="auto"/>
        </w:rPr>
        <w:t>our business are located in mainland China or held by a mainland China entity, the assets may not be available to fund operations or for other use outside of mainland China due to interventions in or the imposition of restrictions and limitations on the ability of us and our subsidiaries to transfer assets by the PRC government.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on GigaCloud Group’s ability to transfer or distribute cash within its organization, which could result in an inability or prohibition on making transfers or distributions to entities outside of mainland China and Hong Kong and adversely affect its business. Saved as the foregoing limitations imposed by the PRC government as described hereto, there are currently no limitations on our or our subsidiaries’ ability to transfer cash to investors. See “Risk Factors—Risks Related to Doing Business in China— Governmental control of currency conversion may limit our ability to utilize our revenues, transfer or distribute cash within our group effectively and affect the value of your investment” and “Regulation—Regulatory Overview of the PRC—Regulations Relating to Dividend Distributions” for a detailed discussion of the PRC legal restrictions on dividends and our ability to transfer cash within our group. In addition, holders of our ordinary shares may potentially be subject to PRC taxes on dividends paid by us in the event GigaCloud Technology Inc is deemed as a PRC resident enterprise for PRC tax purposes. See “Taxation—PRC Taxation” and “Risk Factors—Risks Related to Doing Business in China— Dividends paid to our foreign investors and gains on the sale of our Class A ordinary shares by our foreign investors may become subject to PRC tax” for more details.</w:t>
      </w:r>
    </w:p>
    <w:p>
      <w:pPr>
        <w:spacing w:after="0" w:line="190" w:lineRule="exact"/>
        <w:rPr>
          <w:sz w:val="20"/>
          <w:szCs w:val="20"/>
          <w:color w:val="auto"/>
        </w:rPr>
      </w:pPr>
    </w:p>
    <w:p>
      <w:pPr>
        <w:ind w:left="300" w:right="80" w:firstLine="852"/>
        <w:spacing w:after="0" w:line="293" w:lineRule="auto"/>
        <w:rPr>
          <w:sz w:val="20"/>
          <w:szCs w:val="20"/>
          <w:color w:val="auto"/>
        </w:rPr>
      </w:pPr>
      <w:r>
        <w:rPr>
          <w:rFonts w:ascii="Arial" w:cs="Arial" w:eastAsia="Arial" w:hAnsi="Arial"/>
          <w:sz w:val="16"/>
          <w:szCs w:val="16"/>
          <w:color w:val="auto"/>
        </w:rPr>
        <w:t>We currently have not maintained any cash management policies that dictate the purpose, amount and procedure of fund transfers among our Cayman Islands holding company, our subsidiaries, the consolidated VIEs, or investors. Rather, the funds can be transferred in accordance with the applicable laws and regulations. We may require additional capital resources in the future and we may seek to issue additional equity or debt securities or obtain new or expanded credit facilities, which could subject us to operating and financing covenants, including requirements to maintain certain amount of cash reserves. See “Risk Factors—Risks Related to Our Business and Industry—Our ability to raise capital in the future may be limited, and our failure to raise capital when needed could prevent us from growing.”</w:t>
      </w:r>
    </w:p>
    <w:p>
      <w:pPr>
        <w:spacing w:after="0" w:line="164" w:lineRule="exact"/>
        <w:rPr>
          <w:sz w:val="20"/>
          <w:szCs w:val="20"/>
          <w:color w:val="auto"/>
        </w:rPr>
      </w:pPr>
    </w:p>
    <w:p>
      <w:pPr>
        <w:ind w:left="300" w:right="40" w:firstLine="852"/>
        <w:spacing w:after="0" w:line="269" w:lineRule="auto"/>
        <w:rPr>
          <w:sz w:val="20"/>
          <w:szCs w:val="20"/>
          <w:color w:val="auto"/>
        </w:rPr>
      </w:pPr>
      <w:r>
        <w:rPr>
          <w:rFonts w:ascii="Arial" w:cs="Arial" w:eastAsia="Arial" w:hAnsi="Arial"/>
          <w:sz w:val="17"/>
          <w:szCs w:val="17"/>
          <w:color w:val="auto"/>
        </w:rPr>
        <w:t>Our subsidiaries and consolidated VIEs have never made any dividends or distributions to our Cayman Islands holding company. Similarly, our Cayman Islands holding company has not declared or made any dividend or other distribution to its shareholders, including U.S. investors, in the past. U.S. investors will not be subject to Cayman Islands taxation on dividend distributions, and no withholding will be required on the payment of dividends or distributions to them while they may be subject to U.S. federal income tax. See “Taxation—Material U.S. Federal Income Tax Consequences—Taxation of Dividends.”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Our board of directors has complete discretion on whether to distribute dividends, subject to applicable laws.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5" w:lineRule="exact"/>
        <w:rPr>
          <w:sz w:val="20"/>
          <w:szCs w:val="20"/>
          <w:color w:val="auto"/>
        </w:rPr>
      </w:pPr>
    </w:p>
    <w:p>
      <w:pPr>
        <w:ind w:left="300" w:right="480" w:firstLine="852"/>
        <w:spacing w:after="0" w:line="263" w:lineRule="auto"/>
        <w:rPr>
          <w:sz w:val="20"/>
          <w:szCs w:val="20"/>
          <w:color w:val="auto"/>
        </w:rPr>
      </w:pPr>
      <w:r>
        <w:rPr>
          <w:rFonts w:ascii="Arial" w:cs="Arial" w:eastAsia="Arial" w:hAnsi="Arial"/>
          <w:sz w:val="18"/>
          <w:szCs w:val="18"/>
          <w:color w:val="auto"/>
        </w:rPr>
        <w:t>In considering any distribution of the earnings of the subsidiaries to their respective holding companies, we must consider their respective financial conditions before making a decision. There are no other significant restrictions and limitations on our ability to distribute earnings from our businesses, including our subsidiaries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47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and consolidated VIEs, to the holding company and U.S. investors or our ability to settle amounts owed. Except the aforementioned restrictions on our PRC Subsidiaries, there are no significant restrictions on foreign exchange or our ability to transfer cash between entities within our group, across borders, or to U.S. investors.</w:t>
      </w: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60"/>
          </w:cols>
          <w:pgMar w:left="320" w:top="459" w:right="7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i w:val="1"/>
          <w:iCs w:val="1"/>
          <w:color w:val="auto"/>
        </w:rPr>
        <w:t>Investing in our Class A ordinary shares entails a significant level of risk. Before investing in our Class A ordinary shares, you should carefully consider all of the risks and uncertainties mentioned in this section, in addition to all of the other information in this prospectus, including the financial statements and related notes. We may face additional risks and uncertainties aside from the ones mentioned below. There may be risks and uncertainties that we are unaware of, or that we currently do not consider material but may become important factors that adversely affect our business in the future. Any of the following risks and uncertainties could have a material adverse effect on our business, results of operations, financial condition and prospects. In such case, the market prices of our Class A ordinary shares could decline and you may lose part or all of your investment.</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Uncertainties in economic conditions and their impact on the ecommerce industry, particularly for large parcel merchandise, could adversely impact our operating results.</w:t>
      </w:r>
    </w:p>
    <w:p>
      <w:pPr>
        <w:spacing w:after="0" w:line="170"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We generate a significant portion of our revenues by offering global end-to-end B2B ecommerce solutions for large parcel merchandise via our GigaCloud Marketplace and by selling our own inventory through the GigaCloud Marketplace, to and through off-platform ecommerce websites such as Rakuten in Japan, Amazon and Walmart in the U.S. and Wayfair in the U.K. Our business and growth are therefore highly dependent on the viability and prospects of the ecommerce industry, particularly for the large parcel merchandise market.</w:t>
      </w:r>
    </w:p>
    <w:p>
      <w:pPr>
        <w:spacing w:after="0" w:line="17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Any uncertainties relating to the growth, profitability and regulatory regime of the ecommerce industry for large parcel merchandise in the U.S. and other jurisdictions in which we operate could have a significant impact on us. The development of the ecommerce industry is affected by a number of factors, most of which are beyond our control. These factors include:</w:t>
      </w:r>
    </w:p>
    <w:p>
      <w:pPr>
        <w:spacing w:after="0" w:line="211" w:lineRule="exact"/>
        <w:rPr>
          <w:sz w:val="20"/>
          <w:szCs w:val="20"/>
          <w:color w:val="auto"/>
        </w:rPr>
      </w:pPr>
    </w:p>
    <w:p>
      <w:pPr>
        <w:ind w:left="1420" w:right="30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consumption power and disposable income of ecommerce consumers, as well as changes in demographics and consumer tastes and preferences;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reliability and security of ecommerce platforms;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selection, price and popularity of products offered on ecommerce platforms;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impact of the COVID-19 pandemic to our business operations and the economy in the U.S. and elsewhere generally;</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revenues fulfillment, payment and other ancillary services associated with ecommerce;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and regulations, as well as government policies, that govern the ecommerce industry in the U.S.</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The ecommerce industry is highly sensitive to changes in macroeconomic conditions, and ecommerce spending tends to decline during recessionary periods. Many factors beyond our control, including inflation and deflation, fluctuations in currency exchange rates, volatility of stock and property markets, interest rates, tax rates and other government policies and changes in unemployment rates can adversely affect consumer confidence and spending behavior on ecommerce platforms, which could in turn materially and adversely affect our growth and profitability. In addition, unfavorable changes in domestic and international politics, including military conflicts, political turmoil and social instability, may also adversely affect consumer confidence and spending, which could in turn negatively impact our growth and profitability.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historical growth rates and performance may not be sustainable or indicative of our future growth and financial results. We cannot guarantee that we will be able to maintain the growth rate we have experienced to date.</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have grown rapidly over the last few years. Our revenues increased from $122.3 million in 2019 to $275.5 million in 2020 and $414.2 million in 2021 and further increased from $94.5 million in the three months ended March 31, 2021 to $112.4 million in the three months ended March 31, 2022. GigaCloud Marketplace GMV increased from $35.5 million in 2019 to $190.5 million in 2020 and $414.2 million in 2021 and increased from $89.5 million in the three months ended March 31, 2021 to $113.4 million in the three months ended March 31, 2022. However, our historical performance may not be indicative of our future growth or financial results. We cannot assure you that we will be able to grow at the same rate as we did in the past, or avoid any decline in the future. Our growth may slow or become negative, and revenues may decline for a number of possible reasons, some of which are beyond our control, including decreasing consumer spending, increasing competition, declining growth of our overall market or industry, the emergence of alternative business models and changes in rules, regulations, government policies or general economic conditions. In addition, our B2B ecommerce platform, GigaCloud Marketplace, from which we have generated 46.8%, 66.2%, 69.2%, 66.3% and 76.0% of our total revenues in 2019, 2020, 2021 and the three months ended March 31, 2021 and 2022, respectively, is a relatively new initiative and may not grow as quickly as we have anticipated. Our growth rate may also be slower than the previous years due to inflationary pressure and changes in the global economic conditions. It is difficult to evaluate our prospects, as we may not have sufficient experience in addressing the risks to which companies operating in rapidly evolving markets may be exposed. If our growth rate declines, our business, financial condition and results of operations may be materially and adversely affected.</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System interruptions that impair access to our GigaCloud Marketplace, or other performance failures in our technology infrastructure, could damage our reputation and results of operations.</w:t>
      </w:r>
    </w:p>
    <w:p>
      <w:pPr>
        <w:spacing w:after="0" w:line="170"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The satisfactory performance, reliability and availability of our marketplace, software such as our AI, data analytics tools, warehouse management system and other technology infrastructures are critical to our reputation and our ability to acquire and retain customers, as well as maintain adequate customer service levels.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For example, if one of our data centers fails or suffers an interruption or degradation of services, we could lose customer data and miss order fulfillment deadlines, which could harm our business. Our systems and operations, including our ability to fulfill customer orders through our logistics network, are also vulnerable to damage, breakdown, breach or interruption from inclement weather, fire, flood, power loss, telecommunications failure, terrorist attacks, labor disputes, employee error or malfeasance, theft or misuse, cyber-attacks, denial-of-service attacks, computer viruses, ransomware or other malware, data loss, acts of war, break-ins, earthquake and similar events. In the event of a data center failure, the failover to a back-up could take substantial time, during which time our sites could be completely shut down. Further, our back-up services may not effectively process spikes in demand, may process transactions more slowly and may not support all of our sites’ functionality.</w:t>
      </w:r>
    </w:p>
    <w:p>
      <w:pPr>
        <w:spacing w:after="0" w:line="16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use complex AI software in our technology infrastructure, which we seek to continually update and improve. We may not always be successful in executing these upgrades and improvements, and the operation of our systems may be subject to failure. In particular, we may in the future experience slowdowns or interruptions in our marketplace or our warehouse management system when we are updating them, and new technologies or infrastructures may not be fully integrated with existing systems on a timely basis, or at all. Our revenues depends on the number of sellers and buyers who trade in our marketplace and the amount of GMV we can handle. Unavailability of our marketplace or our logistics algorithm would reduce the volume of GMV in our business operations.</w:t>
      </w:r>
    </w:p>
    <w:p>
      <w:pPr>
        <w:spacing w:after="0" w:line="192"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We may experience periodic system interruptions from time to time. In addition, continued growth in our transaction volume, as well as surges in online traffic and orders associated with promotional activities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seasonal trends in our marketplace or on third-party ecommerce platforms, place additional demands on our technology infrastructure and could cause or exacerbate slowdowns or interruptions. Any substantial increase in the volume of traffic or the number of orders placed in our marketplace or the third-party ecommerce platforms may require us to further expand and upgrade our logistics network, precision logistics algorithm, warehouse management system and technology infrastructure. There can be no assurance that we will be able to accurately project the rate or timing of increases, if any, in the use of our marketplace, the third-party ecommerce platforms or expand and upgrade our systems and infrastructure to accommodate such increases on a timely basis. To remain competitive, we continue to enhance and improve the responsiveness, functionality and features of our marketplace, which is particularly challenging given the rapid rate at which new technologies, customer preferences and expectations and industry standards and practices are evolving in the ecommerce industry. Accordingly, we redesign and enhance various functions in our marketplace on a regular basis, and we may experience instability and performance issues as a result of these changes.</w:t>
      </w:r>
    </w:p>
    <w:p>
      <w:pPr>
        <w:spacing w:after="0" w:line="166"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Any slowdown, interruption or performance failure of our marketplace and the underlying technology and logistics infrastructure could harm our business, reputation and our ability to acquire, retain and serve our customers, which could materially adversely affect our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international operations are subject to a variety of legal, regulatory, political and economic risks.</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We operate warehouses in four countries across North America, Europe and Asia, with the U.S. being our largest market. Our international activities are significant to our revenues and profits, and we plan to further expand internationally. In certain international market segments, we have relatively little operating experience and may not benefit from any first-to-market advantages. It is costly to establish, develop, and maintain international operations, and promote our brand internationally. Our international operations may not become profitable on a sustained basis.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our international sales and operations are subject to a number of risks, including:</w:t>
      </w:r>
    </w:p>
    <w:p>
      <w:pPr>
        <w:spacing w:after="0" w:line="252"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economic, inflation and political conditions;</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regulation (such as regulation of our product and service offerings and of competition); restrictive governmental actions (such as trade protection measures, including export duties and quotas and custom duties and tariffs); nationalization; and restrictions on foreign ownership;</w:t>
      </w:r>
    </w:p>
    <w:p>
      <w:pPr>
        <w:spacing w:after="0" w:line="210" w:lineRule="exact"/>
        <w:rPr>
          <w:rFonts w:ascii="Arial" w:cs="Arial" w:eastAsia="Arial" w:hAnsi="Arial"/>
          <w:sz w:val="18"/>
          <w:szCs w:val="18"/>
          <w:color w:val="auto"/>
        </w:rPr>
      </w:pPr>
    </w:p>
    <w:p>
      <w:pPr>
        <w:ind w:left="1420" w:right="100" w:hanging="319"/>
        <w:spacing w:after="0" w:line="259"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sales or distribution of certain products or services and uncertainty regarding liability for products, services, and content, including uncertainty as a result of less Internet-friendly legal systems, local laws, lack of legal precedent, and varying rules, regulations, and practices regarding the physical and digital distribution of media products and enforcement of intellectual property rights;</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licensing or certification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 and foreign currency exchange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fulfillment and technology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impact of the COVID-19 pandemic on our business operations and the economy in globally;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shorter payable and longer inventory and receivable cycles and the resultant negative impact on cash flow;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right="54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regarding consumer and data protection, privacy, network security, encryption, payments, advertising, and restrictions on pricing or discounts;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levels of use of the Internet;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levels of consumer spending and fewer opportunities for growth compared to the U.S., Europe, Japan or the PRC;</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difficulty in staffing, developing, and managing foreign operations as a result of distance, language, and cultural differences;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employee/employer relationships and the existence of works councils and labor unions;</w:t>
      </w:r>
    </w:p>
    <w:p>
      <w:pPr>
        <w:spacing w:after="0" w:line="252"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labor regulations where labor laws may be more advantageous to employees as compared to the U.S. and the other jurisdictions we operate in;</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other applicable U.S. and foreign laws prohibiting corrupt payments to government officials and other third parties;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policies of the U.S. and other jurisdictions affecting trade, foreign investment, loans, and taxes;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geopolitical events, including pandemic, war and terrorism.</w:t>
      </w:r>
    </w:p>
    <w:p>
      <w:pPr>
        <w:spacing w:after="0" w:line="225"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As international physical, ecommerce, and omni-channel retail and other services grow, competition will intensify, including through adoption of evolving business models. Local companies may have a substantial competitive advantage because of their greater understanding of, and focus on, the local customer, as well as their more established local brand names. The inability to hire, train, retain, and manage sufficient required personnel may limit our international growth.</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and expand our relationships with third-party platforms and sellers and buyers in our marketplace, our revenues and results of operations will be harmed.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business operations have relied on certain third-party ecommerce platforms, such as Rakuten in Japan, Amazon and Walmart in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Wayfair in the U.K., and we still expect to be significantly influenced by these third-party ecommerce platforms in the foreseeable future.</w:t>
      </w:r>
    </w:p>
    <w:p>
      <w:pPr>
        <w:spacing w:after="0" w:line="22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Such third-party ecommerce platforms have significant influence over how transactions take place on their ecommerce platforms, including how purchase orders are fulfilled by indicating to consumers the preferred express delivery companies for orders placed. We may have to accommodate the demands and requirements from various players in the third-party ecommerce platforms such as packing standards and the selection of specified shippers. Such demands and requirements may increase our costs or weaken our connection with our end customers.</w:t>
      </w:r>
    </w:p>
    <w:p>
      <w:pPr>
        <w:spacing w:after="0" w:line="171"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Furthermore, approximately 67.1%, 76.4%, 73.8% and 80.8% of our GMV was generated from our GigaCloud Marketplace in 2020, 2021 and the three months ended March 31, 2021 and 2022, respectively. As a result, our ability to maintain the relationship with and attract new third-party merchants, who are sellers and buyers trading on large parcel merchandise, to our marketplace is critical to our business operations and growth prospects. However, we may not be able to maintain our relationship with third-party ecommerce platforms or sellers and buyers due to a number of factors, some of which are beyond our control. For example, if the transaction volume or active users in our marketplace drop significantly, our third-party merchants may experience sales declines or shortage in products. As a result, they may not be able to generate profits or procure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products as they expected, and thus choose not to renew their agreements with us. In addition, we may also be unable to continuously offer attractive terms or economic benefits to our sellers and buyers. As a result, our sellers and buyers may not be effectively motivated to sell or order more products or maintain the relationships with us.</w:t>
      </w:r>
    </w:p>
    <w:p>
      <w:pPr>
        <w:spacing w:after="0" w:line="184"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Even if we are able to maintain our relationship with sellers and buyers and attract more sellers and buyers to our marketplace, we are subject to various risks in connection with third-party merchants. If any third-party sellers does not control the quality of the products that it sells in our marketplaces, delivers products that are defective or materially different from description, the reputation of our online marketplace could be materially and adversely affected and we could face claims to hold us liable for the losses. Moreover, despite our efforts to prevent it, some products sold by the sellers in our online marketplace may compete with the products we sell directly, which may cannibalize our sales under our self-operated business. In order for our online marketplace to be successful, we must continue to identify and attract sellers and buyers, and we may not be successful in this regard. The occurrence of any of the above could have a material and adverse effect on our business, financial condition and results of operations.</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Risks associated with the manufacturers of the products we sell as our own inventory could materially adversely affect our financial performance as well as our reputation and brand.</w:t>
      </w:r>
    </w:p>
    <w:p>
      <w:pPr>
        <w:spacing w:after="0" w:line="170"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source products from third-party suppliers and manufacturers which we sell as our own inventory through GigaCloud Marketplace and also through off-platform ecommerce. We depend on our ability to provide our customers with a wide range of products from qualified suppliers in a timely and efficient manner. Political and economic instability, global or regional adverse conditions, such as pandemics or other disease outbreaks or natural disasters, the financial stability of suppliers, suppliers’ ability to meet our standards, labor problems experienced by suppliers, the availability or cost of raw materials, merchandise quality issues, currency exchange rates, trade tariff developments, transport availability and cost, including import-related taxes, transport security, inflation, and other factors relating to our suppliers are beyond our control. As an example, the COVID-19 pandemic could adversely impact supplier facilities and operations due to extended holidays, factory closures and risks of labor shortages, among other things, which may materially and adversely affect our business, financial condition and results of operations.</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agreements with most of our suppliers do not provide for the long-term availability of merchandise or the continuation of particular pricing practices, nor do they usually restrict such suppliers from selling products to other buyers.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Our ability to develop and maintain relationships with reputable suppliers and offer high quality merchandise to our customers is critical to our success. If we are unable to develop and maintain relationships with suppliers that would allow us to offer a sufficient amount and variety of quality merchandise on acceptable commercial terms, our ability to satisfy our customers’ needs, and therefore our long-term growth prospects, may be materially adversely affected.</w:t>
      </w:r>
    </w:p>
    <w:p>
      <w:pPr>
        <w:spacing w:after="0" w:line="16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Further, we rely on our suppliers’ representations of product quality, safety and compliance with applicable laws and standards. If our suppliers or other vendors violate applicable laws, regulations or our supplier code of conduct, or implement practices regarded as unethical, unsafe, or hazardous to the environment, it could damage our reputation and negatively affect our operating results. Further, concerns regarding the safety and quality of products provided by our suppliers could cause our customers to avoid purchasing those products from us, or avoid purchasing products from us altogether, even if the basis for the concern is outside of our control. As such, any issue, or perceived issue, regarding the quality and safety of any items we sell, regardless of the cause, could adversely affect our brand, reputation, operations and financial results.</w:t>
      </w:r>
    </w:p>
    <w:p>
      <w:pPr>
        <w:spacing w:after="0" w:line="164"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We also are unable to predict whether any of the countries in which our suppliers’ products are currently manufactured or may be manufactured in the future will be subject to new, different, or additional trade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192"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addition, our business with foreign suppliers, particularly with respect to our international sites, may be affected by changes in the value of the U.S. dollar relative to other foreign currencies. For example, any movement by any other foreign currency against the U.S. dollar may result in higher costs to us for those goods. Declines in foreign currencies and currency exchange rates might negatively affect the profitability and business prospects of one or more of our foreign suppliers. This, in turn, might cause such foreign suppliers to demand higher prices for merchandise in their effort to offset any lost profits associated with any currency devaluation, delay merchandise shipments, or discontinue selling to us altogether, any of which could ultimately reduce our revenues or increase our costs.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manage our inventory effectively, our results of operations, financial condition and liquidity may be materially and adversely affected.</w:t>
      </w:r>
    </w:p>
    <w:p>
      <w:pPr>
        <w:spacing w:after="0" w:line="26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business model requires us to manage a large volume of inventory effectively. We procure products from third-party manufacturers and sell as our own inventory through our GigaCloud Marketplace and off-platform ecommerce. We depend on our demand forecasts for various kinds of products to make purchase decisions and to manage our inventory. Demand for products, however, can change significantly between the time inventory is ordered and the date by which we target to sell it.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we may not be able to accurately forecast demand. The procurement of certain types of inventory may require significant lead time and prepayment, and they may not be returnable. If we are unable to anticipate or respond to changes in customer preferences or fail to bring products that satisfy new customer preferences to GigaCloud Marketplace and off-platform ecommerce in a timely manner, our results of operations, financial condition and liquidity could be adversely affected.</w:t>
      </w:r>
    </w:p>
    <w:p>
      <w:pPr>
        <w:spacing w:after="0" w:line="166"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inventories have increased from $35.6 million as of December 31, 2020 to $81.4 million as of December 31, 2021, and further to $110.7 million as of March 31, 2022. Our annual inventory turnover days for our own inventory were 53 days in 2020 and 65 days in 2021. Our inventory turnover day for the three months ended March 31, 2022 was 90 days. Our inventory turnover days for a given period are equal to average balances of inventories calculated from the beginning and ending balances of the period divided by cost of revenues during the period and then multiplied by the number of days during the period. The increase in inventory turnover days in 2021 was primarily attributable to the increase in cost of revenues as ocean freight costs surged in 2021, the increase in the balance of inventories as we continued to increase our own inventory for our 1P sales and an increased inventory backlog. The further increase in inventory turnover days in the three months ended March 31, 2022 was primarily attributable to the continued increase in ocean freight costs due to COVID-19 induced travel restrictions which substantially reduced global air freight capacities and led to shortages in global ocean freight capacities. Shipping costs to procure our inventories, including ocean freight costs, are included in the balance of inventories and the increase in ocean freight costs has contributed to an increase in our inventories. The increase in shipping costs also caused us to adjust our product prices upward, which may have affected consumer demand and lengthened the inventory turnover days. We believe ocean freight costs will continue to increase in 2022 as the uncertainty regarding the impacts of the COVID-19 pandemic remains, and there is risk that we may not be able to pass the cost increases entirely to customers, in which case, our margins may be adversely affected.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If we fail to manage our inventory effectively, we may be subject to a heightened risk of inventory obsolescence, a decline in inventory values, and significant inventory write-downs or write-offs. To reduce our inventory level, we usually choose to sell certain of our products at lower prices,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57"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business and reputation.</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on our relationships with third-parties, including third-party carriers, and changes in our relationships with these parties could adversely impact our revenues and profits.</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rely on third parties to operate certain elements of our business. For example, we rely on local carriers and third-party national, regional, and local transportation companies to deliver our large parcel merchandise. As a result, we may be subject to shipping delays or disruptions caused by inclement weather, natural disasters, system interruptions and technology failures, labor activism, health epidemics or bioterrorism. We are also subject to risks of breakage or other damage during delivery by any of these third parties. We also use and rely on other services from third parties, such as telecommunications services, customs, consolidation and shipping services, as well as warranty, installation, assembly and design services. We may be unable to maintain these relationships, and these services may also be subject to outages and interruptions that are not within our control. Third parties may in the future determine they no longer wish to do business with us or may decide to take other actions that could harm our business. We may also determine that we no longer want to do business with them. If parcels are not delivered in a timely fashion or are damaged during the delivery process by these third parties, or if we are not able to provide adequate customer support or other services or offerings, our customers could become dissatisfied and cease using our cross border fulfillment services or stop trading products through our marketplace, which would adversely affect our operating results.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optimizing our warehouses and fulfillment network.</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As of March 31, 2022, we had 21 large scale warehouses spreading across the U.S., Japan, the U.K. and Germany. Failures to adequately predict customer demand or otherwise optimize and operate our fulfillment network successfully from time to time result in excess or insufficient fulfillment capacity, increased costs and impairment charges, any of which could materially harm our business. As we continue to add warehouses and fulfillment capability, our fulfillment and logistics networks become increasingly complex and operating them becomes more challenging. There can be no assurance that we will be able to operate our networks effectively.</w:t>
      </w:r>
    </w:p>
    <w:p>
      <w:pPr>
        <w:spacing w:after="0" w:line="188"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addition, failure to optimize inventory in our fulfillment network increases our net shipping cost by requiring long-zone or partial shipments. We may be unable to adequately staff our warehousing network and customer service centers. As we maintain the inventory of other companies, the complexity of tracking inventory and operating our fulfillment network has further increased. Our failure to properly handle such inventory or the inability of the other businesses on whose behalf we perform inventory fulfillment services to accurately forecast product demand may result in us being unable to secure sufficient storage space or to optimize our warehouses and fulfillment network or cause other unexpected costs and other harm to our business and reputation.</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Damage to our brand image could have a material adverse effect on our growth strategy and our business, financial condition, results of operations and prospects.</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Maintaining and enhancing our brand is critical to expanding our base of customers, including attracting third-party ecommerce platforms to use our third-party logistics services and the sellers and buyers to trade in our marketplace. Our ability to maintain and enhance our brand depends largely on our ability to maintain customer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confidence in our service offerings, including by delivering parcels on time and without damage to end customers. If end customers do not have a satisfactory experience with our logistics services, our customers may seek out alternative logistics services from our competitors. Alternatively, if our sellers and buyers are not satisfied with the products selection or service offerings in our marketplace, they may not return to our marketplace in the future, or at all.</w:t>
      </w:r>
    </w:p>
    <w:p>
      <w:pPr>
        <w:spacing w:after="0" w:line="187"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quality, delivery problems, competitive pressures, litigation or regulatory activity, could seriously harm our reputation. Such negative publicity also could have an adverse effect on the size, engagement, and loyalty of our customer base and result in decreased total revenues, which could adversely affect our business, financial condition and results of operations. A significant portion of our customers’ brand experience also depends on third parties outside of our control, including carrier and freight service providers and other third-party delivery agents. If these third parties do not meet our or our customers’ expectations, our brands may suffer irreparable damage.</w:t>
      </w:r>
    </w:p>
    <w:p>
      <w:pPr>
        <w:spacing w:after="0" w:line="192"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Customer complaints or negative publicity about our marketplace, products, delivery times, company practices, employees, customer data handling and security practices or customer support, especially on social media websites and in our marketplace, could rapidly and severely diminish buyers’ and sellers’ use of our marketplace and third-party ecommerce platforms’ confidence in us and result in harm to our brands.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efforts to launch new products or services may not be successful.</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business success depends to some extent on our ability to expand our service offerings by launching new products and services and by expanding our existing offerings into new geographies. For example, we expanded into Germany for our third-party logistics services in 2018, and we launched GigaCloud Marketplace, our B2B marketplace, in 2019. Launching new products and services or expanding internationally requires significant upfront investments, including investments in marketing, information technology, and additional personnel. Expanding our service offerings internationally is particularly challenging because it requires us to gain country-specific knowledge about consumers, regional competitors and local laws, purchase or lease warehouse, build local logistics capabilities and customize portions of our technology for local markets. We may not be able to generate satisfactory revenues from these efforts to offset these costs. Any lack of market acceptance of our efforts to launch new services or to expand our existing offerings could have a material adverse effect on our business, financial condition and results of operations. Further, as we continue to expand our fulfillment capability or add new businesses with different requirements, our logistics networks become increasingly complex and operating them becomes more challenging. There can be no assurance that we will be able to operate our networks effectively.</w:t>
      </w:r>
    </w:p>
    <w:p>
      <w:pPr>
        <w:spacing w:after="0" w:line="16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We have also entered and may continue to enter into new markets in which we have limited or no experience, which may not be successful or appealing to our customers. These activities may present new and difficult technological and logistical challenges, and resulting service disruptions, failures or other quality issues may cause customer dissatisfaction and harm our reputation and brand. Further, our current and potential competitors in new market segments may have greater brand recognition, financial resources, longer operating histories and larger customer bases than we do in these areas. As a result, we may not be successful enough in these newer areas to recoup our investments in them. If this occurs, our business, financial condition and results of operations may be materially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COVID-19 pandemic could materially and adversely impact our business.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In December 2019, a novel strain of coronavirus, COVID-19, was first reported in Wuhan, PRC and has since become a global pandemic. In an effort to contain the spread of COVID-19, many countries, including the U.S., the PRC and most other jurisdictions around the world, have imposed unprecedented restrictions on travel, business and office closures, quarantines and lock-downs, resulting in a substantial reduction in economic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activity. On January 30, 2020, the World Health Organization, or WHO, declared this COVID-19 outbreak a Public Health Emergency of International Concern. On February 28, 2020, the WHO increased the assessment of the risk of spread and the risk of impact of COVID-19 to “very high” at a global level. On March 11, 2020, the WHO declared the COVID-19 outbreak a pandemic.</w:t>
      </w:r>
    </w:p>
    <w:p>
      <w:pPr>
        <w:spacing w:after="0" w:line="184"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As COVID-19 has evolved into a worldwide health crisis, it has resulted in adverse effects in the global economy and financial markets, such as significant declines in the global stock markets. The effects of government actions and our own policies and those of third parties to reduce the spread of COVID-19 have and may continue to negatively impact all or portions of our workforce, operations, suppliers and customers, demand for our products and services and our ongoing and business activities, and have caused, and may further cause, disruptions to our supply chain and logistics networks and may impair our ability to execute our business development strategy. For example, the COVID-19 pandemic has temporarily disrupted the global supply chain, including many of our suppliers, as factory closures and reduced manufacturing output impacted inventory levels, potentially exacerbated by surging demand for products. Since the COVID-19 outbreak, however, we have seen increased GMV and revenues in our business as more people stayed at home and re-furnished their apartments to be better fitted for remote working environment. We cannot assure you that such trends will continue going forward as the U.S. and other key markets in which we operate begin to recover from the COVID-19 pandemic.</w:t>
      </w:r>
    </w:p>
    <w:p>
      <w:pPr>
        <w:spacing w:after="0" w:line="16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the severity, magnitude and duration of the COVID-19 pandemic, corresponding public health responses and the economic consequences of the foregoing remain uncertain, rapidly changing and difficult to predict, we may experience ongoing disruptions that could severely impact our business, including:</w:t>
      </w:r>
    </w:p>
    <w:p>
      <w:pPr>
        <w:spacing w:after="0" w:line="211"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significant reduction in revenues due to curtailment of business from our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in our operating margins due to long-term changes in the mix of our products and services;</w:t>
      </w:r>
    </w:p>
    <w:p>
      <w:pPr>
        <w:spacing w:after="0" w:line="252" w:lineRule="exact"/>
        <w:rPr>
          <w:rFonts w:ascii="Arial" w:cs="Arial" w:eastAsia="Arial" w:hAnsi="Arial"/>
          <w:sz w:val="18"/>
          <w:szCs w:val="18"/>
          <w:color w:val="auto"/>
        </w:rPr>
      </w:pPr>
    </w:p>
    <w:p>
      <w:pPr>
        <w:ind w:left="1420" w:right="7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effects from governmental, business and individuals’ actions that have been and continue to be taken in response to the pandemic (including restrictions on travel and transportation and workforce pressures);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reductions in operating effectiveness due to employees working remotely; unavailability of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delay or cancellation of capital projects and related delays in, or loss of, expected benefits therefrom;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access to liquidity; increased volatility and pricing in the capital and commercial paper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further disruption of our global supply chain and logistics networks; and</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we recognize an impairment in the fair value of our assets; an increase in our pension funding obligations; and the effect of the pandemic on the credit-worthiness of our customers.</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Any of these and other disruptions in our operations and the global economy could negatively impact our business, financial condition and results of operations.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addition, quarantines, shelter-in-place and similar government orders related to COVID-19 or other infectious diseases, or the perception that such orders, shutdowns or other restrictions on the conduct of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operations could occur, could adversely affect personnel at third parties which we rely on. These third parties include our manufacturing suppliers and logistics providers and other third-party delivery agents, as their workers may be temporarily prohibited or otherwise unable to report to work and transporting products within regions or countries may be limited due to extended holidays, factory closures, port closures and increased border controls and closures, among other things. As a result of the foregoing, we experienced interruptions to our logistics network, resulting in delays in delivery times for our third party-logistics services in the second quarter of 2020. We may also incur higher shipping costs due to various surcharges by third-party delivery agents on retailers related to the increased shipping demand resulting from the COVID-19 pandemic. To the extent our service providers are unable to comply with their obligations under our agreements with them or they are otherwise unable to deliver or are delayed in delivering goods and services to us due to the COVID-19 pandemic, our operations may be negatively impacted.</w:t>
      </w:r>
    </w:p>
    <w:p>
      <w:pPr>
        <w:spacing w:after="0" w:line="16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it has already caused, and could result in further, significant disruption of global financial markets, reducing our ability to access capital, which could in the future negatively affect our liquidity and financial position.</w:t>
      </w:r>
    </w:p>
    <w:p>
      <w:pPr>
        <w:spacing w:after="0" w:line="18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COVID-19 and actions taken to reduce its spread continue to rapidly evolve. In late March and April 2022, certain regions in China were subject to lock-down and other constraints imposed by the local government authorities due to a new wave of COVID-19 outbreak in those regions. Employees who are located in those regions were required to work remotely and/or suspended any business travels. There were a few days of delays in the shipping and handling of parcel in and out of the Shanghai port due to the lock-down in the area. The percentage of shipments from Shanghai port made up approximately 15% and 9% of our total shipments in March and April 2022, respectively. Although a majority of our employees are located in China, our business, products, lines of service, projects and operations were not materially impacted by such pandemic-related lockdown in China because we were able to maintain normal business operations under a remote working arrangement with our employees. Furthermore, since most of the buyers in our GigaCloud Marketplace are typically resellers based in the U.S. and Europe and the buyers on third-party ecommerce websites are located outside of China, the lock-down in China in 2022 did not have a material impact of consumer demand of our products and services. The extent to which COVID-19 may reduce the productivity of our employees, disrupt our service supply chains, reduce our access to capital or limit our business development activities, will depend on future developments, which are highly uncertain and cannot be predicted with confidence, such as the ultimate geographic spread of the disease, the duration of the outbreak, travel restrictions and social distancing in the U.S. and other countries, business closures or business disruptions and the effectiveness of actions taken in the U.S. and other countries to contain and treat the disease. To the extent the COVID-19 pandemic adversely affects our business, financial condition and results of operations, it may also have the effect of heightening many of the other risks described in this “Risk Factors” section.</w:t>
      </w:r>
    </w:p>
    <w:p>
      <w:pPr>
        <w:spacing w:after="0" w:line="182"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Despite the foregoing, in 2020 and 2021 and the three months ended March 31, 2022, we saw an increased revenues and order activity since the COVID-19 pandemic. These results, as well as those of other metrics such as revenues, gross margins and other financial and operating data, may not be indicative of results for future periods. Some of the increased demand is likely due to customers being required or encouraged to stay at home, school closures and employers requiring employees to work remotely. Such increased demand may increase beyond manageable levels, may fluctuate significantly, or may not continue, including the possibility that demand may decrease from historical levels. The duration and severity of the COVID-19 pandemic, the amount of time it will take for normal economic activity to resume, and future government actions that may be taken are all unknown, and accordingly the situation remains dynamic and subject to rapid and possibly material change, including but not limited to changes that may materially affect the operations of our suppliers, logistics providers and customers, which ultimately could result in material adverse effects on our business, financial condition and results of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risks related to online transactions and payment methods.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accept payments using a variety of methods, including credit card, debit card, PayPal, credit accounts (including promotional financing) and customer invoicing. As we offer new payment options to our customers, we may be subject to additional regulations, compliance requirements and fraud. For certain payment methods, including credit and debit cards, we pay interchange and other fees, which may increase over time and raise our operating costs and lower profitability.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may also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to facilitate other types of online payments. If any of these events were to occur, our business, financial condition and operating results could be materially adversely affected.</w:t>
      </w:r>
    </w:p>
    <w:p>
      <w:pPr>
        <w:spacing w:after="0" w:line="172"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We occasionally receive orders placed with fraudulent credit card data. We may suffer losses as a result of orders placed with fraudulent credit card data even if the associated financial institution approved payment of the orders. Under current credit card practices, we may be liable for fraudulent credit card transactions. We may also suffer losses from other online transaction fraud, including fraudulent returns. If we are unable to detect or control credit card or transaction fraud, our liability for these transactions could harm our business, financial condition and operating results.</w:t>
      </w:r>
    </w:p>
    <w:p>
      <w:pPr>
        <w:spacing w:after="0" w:line="15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failure or the failure of third-party service providers to protect our marketplace, networks and systems against security breaches, or otherwise to protect our confidential information, could damage our reputation and substantially harm our business and operating results.</w:t>
      </w:r>
    </w:p>
    <w:p>
      <w:pPr>
        <w:spacing w:after="0" w:line="124" w:lineRule="exact"/>
        <w:rPr>
          <w:sz w:val="20"/>
          <w:szCs w:val="20"/>
          <w:color w:val="auto"/>
        </w:rPr>
      </w:pPr>
    </w:p>
    <w:p>
      <w:pPr>
        <w:jc w:val="both"/>
        <w:ind w:left="120" w:right="80" w:firstLine="881"/>
        <w:spacing w:after="0" w:line="259" w:lineRule="auto"/>
        <w:rPr>
          <w:sz w:val="20"/>
          <w:szCs w:val="20"/>
          <w:color w:val="auto"/>
        </w:rPr>
      </w:pPr>
      <w:r>
        <w:rPr>
          <w:rFonts w:ascii="Arial" w:cs="Arial" w:eastAsia="Arial" w:hAnsi="Arial"/>
          <w:sz w:val="18"/>
          <w:szCs w:val="18"/>
          <w:color w:val="auto"/>
        </w:rPr>
        <w:t>We have access to confidential information in our day-to-day operations. We collect, maintain, transmit and store data about our customers, employees, contractors, suppliers, vendors and others, including personally identifiable information of the senders and recipients of the parcels, as well as other confidential and proprietary information. The proper use and protection of confidential information is essential to maintaining customer trust in us and our services.</w:t>
      </w:r>
    </w:p>
    <w:p>
      <w:pPr>
        <w:spacing w:after="0" w:line="187"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We are materially dependent upon our networks, information technology infrastructure and related technology systems to provide services to our customers and to manage our internal operations. Many of our customers require access to our services on a continuous basis and may be materially impaired by interruptions in our or our third-party service providers’ infrastructure. Our technology systems also process and store certain confidential information and data for the proper functioning of our network. Security breaches and hacker attacks on our system might result in a compromise to the technology that we use to protect confidential information. We may not be able to prevent third parties, especially hackers or other individuals or entities engaging in similar activities, from illegally obtaining confidential information in our possession. Such individuals or entities may engage in various other illegal activities using such information. Further, as parcels move through our network from pickup to delivery, a large number of personnel handle the flow of parcels and have access to significant amounts of confidential information. Some of these personnel may misappropriate the confidential information despite the security policies and measures we have implemented. In addition, most of the delivery and pickup personnel are not our employees, which makes it more difficult for us to implement sufficient and effective control over them.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w:t>
      </w:r>
    </w:p>
    <w:p>
      <w:pPr>
        <w:spacing w:after="0" w:line="3" w:lineRule="exact"/>
        <w:rPr>
          <w:sz w:val="20"/>
          <w:szCs w:val="20"/>
          <w:color w:val="auto"/>
        </w:rPr>
      </w:pPr>
    </w:p>
    <w:p>
      <w:pPr>
        <w:ind w:left="5540" w:right="4340" w:hanging="5424"/>
        <w:spacing w:after="0" w:line="472" w:lineRule="auto"/>
        <w:tabs>
          <w:tab w:leader="none" w:pos="3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interfere with the delivery of services to our customers, (ii) impede our customers’ ability 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If a breach or other security incident were to occur, it could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Moreover, containing and remediating any IT system failure, cybersecurity attack or vulnerability may require significant investment of resources. Any of the foregoing could have a material and adverse effect on our business, financial condition and results of operations.</w:t>
      </w:r>
    </w:p>
    <w:p>
      <w:pPr>
        <w:spacing w:after="0" w:line="181"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Similar security risks exist with respect to our third-party vendors that we rely on for aspects of our IT support services, pickup and delivery services, and administrative functions, including the systems owned, operated or controlled by other unaffiliated operators to the extent we rely on such other systems to deliver services to our customers. Our ability to monitor our third-party service providers’ data security is limited. As a result, we are subject to the risk that cyber-attacks on, or other security incidents affecting, our third-party service providers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 Practices regarding the collection, use, storage, transmission and security of personal information have recently come under increased public scrutiny. Any failure or perceived failure by us to prevent information security breaches or to comply with privacy policies or privacy-related legal obligations could cause our customers to lose trust in us and our services. Any perception that the confidentiality or privacy of information is unsafe or vulnerable when using our services, could damage our reputation and substantially harm our business, financial condition and results of operations.</w:t>
      </w:r>
    </w:p>
    <w:p>
      <w:pPr>
        <w:spacing w:after="0" w:line="168"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The secure processing, storage, maintenance and transmission of critical customer and business information are vital to our operations and our business strategy. Although we devote significant resources to protecting such information and take what we believe to be reasonable and appropriate measures, including a formal and dedicated IT department and limiting the amount of any data we stored to non-sensitive customer information, such as zip codes and business addresses, to protect sensitive information from compromises such as unauthorized access, disclosure, or modification or lack of availability, our information technology and infrastructure may still be vulnerable to attacks by hackers or viruses or breached due to employee error, malfeasance or other disruptions. We may be exposed to significant monetary damages. Saved as the foregoing, we have not taken additional measures to mitigate the risks against cybersecurity in our supply chain based on third-party products, software, services and business. Further, a security breach could require us to expend substantial additional resources relating to the security of our information systems and providing required breach notifications to affected parties, diverting resources from other projects and disrupting our businesses.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services, software or technology could adversely affect our business, financial condition and results of operations.</w:t>
      </w:r>
    </w:p>
    <w:p>
      <w:pPr>
        <w:spacing w:after="0" w:line="170"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Undetected real or perceived errors, failures, bugs or defects may be present or occur in the future in our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real or perceived errors, failures, bugs or defects in our services could also impair our ability to attract new customers, retain existing customers or expand their use of our services, which could adversely affect our business, financial condition and results of operations.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23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may require additional cash capital resources in order to fund future growth and the development of our businesses, including expansion of our ecommerce platform, our third-party logistics services and any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governmental regulations over foreign investment and the ecommerce and logistics services industries.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business is rapidly evolving and intensely competitive, and we have many competitors in different industries. Our competition includes third-party logistics service providers, furniture stores, big box retailers, and online ecommerce platforms and marketplaces in the U.S., Europe, Japan and China. We compete with third-party logistics service providers based on a number of factors, including warehouse and infrastructure capacity, network stability, business model, operational capabilities, cost control and service quality. We also compete with other retailers and ecommerce platforms that offer large parcel merchandise for the variety and availability of products, number of users in the marketplace, flexibility in delivery options and freight rates.</w:t>
      </w:r>
    </w:p>
    <w:p>
      <w:pPr>
        <w:spacing w:after="0" w:line="192"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Many of our current competitors have, and potential competitors may have, longer operating histories, greater brand recognition, larger fulfillment infrastructures, greater technical capabilities, faster and less costly shipping, significantly greater financial, marketing and other resources and larger customer bases than we do. These factors may allow our competitors to derive greater revenues and profits from their existing customer base, acquire customers at lower costs or respond more quickly than we can to new or emerging technologies and changes in customers habits. These competitors may engage in more extensive research and development efforts, undertake more far-reaching marketing campaigns and adopt more aggressive pricing policies, which may allow them to build larger customer bases or generate revenues from their customer bases more effectively than we do.</w:t>
      </w:r>
    </w:p>
    <w:p>
      <w:pPr>
        <w:spacing w:after="0" w:line="1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and other similar claims if people or property are harmed by the products we sell or sold through our platform.</w:t>
      </w:r>
    </w:p>
    <w:p>
      <w:pPr>
        <w:spacing w:after="0" w:line="170"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Some of the products we sell may expose us to product liability and other claims and litigation (including class actions) or regulatory action relating to safety, personal injury, death or environmental or property damage. Some of our agreements with members of our supply chain may not indemnify us from product liability for a particular product, and some members of our supply chain may not have sufficient resources or insurance to satisfy their indemnity and defense obligations. Although we maintain product liability insurance, we cannot be certain that our coverage will be adequate for liabilities actually incurred or that insurance will continue to be available to us on economically reasonable terms, or at all.</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Fluctuations in the price or availability of fuel and uncertainty in third-party transportation capacity may adversely affect our transportation costs and operational results.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transportation costs mainly consist of fuel costs and transportation expenses incurred in relation to the use of third-party transportation services. The availability and price of fuel and third-party transportation capacity are subject to political, economic, and market factors that are outside of our control. In 2020 and 2021, we continued to increase the use of self-owned and operated, cost-efficient high capacity trucks to replace some, but not all, of our third-party outsourced trucks to further enhance transportation efficiency. In the event of a significant increase in fuel prices and third-party transportation service charges, our transportation expenses may rise, and our gross profit may decrease if we are unable to adopt effective cost control-measures or pass on incremental costs to our customers. As a result, our business, financial condition and results of operations may be adversely affected.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risks associated with parcels handled and transported through our network and risks associated with transportation.</w:t>
      </w:r>
    </w:p>
    <w:p>
      <w:pPr>
        <w:spacing w:after="0" w:line="225" w:lineRule="exact"/>
        <w:rPr>
          <w:sz w:val="20"/>
          <w:szCs w:val="20"/>
          <w:color w:val="auto"/>
        </w:rPr>
      </w:pPr>
    </w:p>
    <w:p>
      <w:pPr>
        <w:jc w:val="both"/>
        <w:ind w:left="120" w:right="200" w:firstLine="881"/>
        <w:spacing w:after="0" w:line="296" w:lineRule="auto"/>
        <w:rPr>
          <w:sz w:val="20"/>
          <w:szCs w:val="20"/>
          <w:color w:val="auto"/>
        </w:rPr>
      </w:pPr>
      <w:r>
        <w:rPr>
          <w:rFonts w:ascii="Arial" w:cs="Arial" w:eastAsia="Arial" w:hAnsi="Arial"/>
          <w:sz w:val="16"/>
          <w:szCs w:val="16"/>
          <w:color w:val="auto"/>
        </w:rPr>
        <w:t>We handle a large volume of parcels across our cross border fulfillment network, and face challenges with respect to the protection and inspection of these parcels. Parcels in our fulfillment network may be stolen, damaged or lost for various reasons, and we may face actual or alleged liability for such incidents. In addition, we may fail to detect unsafe or prohibited/restricted items. Further, the big and bulky parcel handled by us are prone to damages, and may injure their recipients, harm our personnel and result in property damage. Failure to prevent prohibited or restricted items from entering our network may result in administrative or criminal penalties as well as civil liability for personal injury and property damage.</w:t>
      </w:r>
    </w:p>
    <w:p>
      <w:pPr>
        <w:spacing w:after="0" w:line="161"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The transportation of parcels involves inherent risks. We have multiple warehouses and personnel involved in our logistics operations at all times, who are subject to risks associated with logistics and transportation safety, including transportation related injuries and losses at our warehouses or during the course of transportation. For example, our personnel may be involved in traffic accidents from time to time, resulting in personal injury and loss or damage to parcels carried by them. In addition, frictions or disputes may occasionally arise from the direct interaction of our personnel with parcel senders and recipients, which may result in personal injury or property damage if such incidents escalate. The insurance policies carried by us may not fully cover the damages caused by transportation related injuries or losses.</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Any of the foregoing could disrupt our services, cause us to incur substantial expenses and divert the time and attention of our management. We may face claims and incur significant liabilities if found liable or partially liable for any injuries, damages or losses. Claims against us may exceed the amount of our insurance coverage or may not be covered by insurance at all. Government authorities may also impose significant fines on us or require us to adopt costly preventive measures. Furthermore, if our services are perceived to be unsafe by our end customers, ecommerce platforms and customers, our business volume may be significantly reduced, and our business, financial condition and results of operations may be materially and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merchandise refunds and product warranty claims could have a material adverse effect on our business.</w:t>
      </w:r>
    </w:p>
    <w:p>
      <w:pPr>
        <w:spacing w:after="0" w:line="225" w:lineRule="exact"/>
        <w:rPr>
          <w:sz w:val="20"/>
          <w:szCs w:val="20"/>
          <w:color w:val="auto"/>
        </w:rPr>
      </w:pPr>
    </w:p>
    <w:p>
      <w:pPr>
        <w:ind w:left="120" w:right="420" w:firstLine="881"/>
        <w:spacing w:after="0" w:line="296" w:lineRule="auto"/>
        <w:rPr>
          <w:sz w:val="20"/>
          <w:szCs w:val="20"/>
          <w:color w:val="auto"/>
        </w:rPr>
      </w:pPr>
      <w:r>
        <w:rPr>
          <w:rFonts w:ascii="Arial" w:cs="Arial" w:eastAsia="Arial" w:hAnsi="Arial"/>
          <w:sz w:val="16"/>
          <w:szCs w:val="16"/>
          <w:color w:val="auto"/>
        </w:rPr>
        <w:t>We allow our customers to claim refunds or product warranties for our 1P sales subject to our return policy. See “Business—Logistics Network and Value-added Services—Warranties and Refunds.” If merchandise returns and product warranty claims are significant, our business, financial condition and results of operations could be harmed. Further, we modify our policies relating to returns and warranties from time to time, which may result in customer dissatisfaction or an increase in the number of product returns. Many of our products are large and require special handling and delivery. From time to time our products are damaged in transit, which can increase return rates and harm our brand.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affected by increase in rental expenses or the termination of leases of our warehouses.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lease properties to operate all of our warehouses, offices, ports and other pickup and delivery outlets. We may be subjected to increase in rental expenses. We may also not be able to successfully extend or renew such leases upon expiration, on commercially reasonable terms or at all, and may be forced to relocate the affected operations. Such relocation may disrupt our operations and result in significant relocation expenses, which could adversely affect our business, financial condition and results of operations. We may not be able to locate desirable alternative sites for our facilities as our business continues to grow and failure in relocating our operations when required could adversely affect our business and operations. In addition, we compete with other businesses for premises at certain locations or of desirable sizes. Even if we are able to extend or renew the respective leases, rental payments may significantly increase as a result of the high demand for the leased properties.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have recorded negative cash flows from operating activities in the three months ended March 31, 2021 and 2022 and may experience significant cash outflows in the future.</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We have recorded cash outflows from operating activities in the three months ended March 31, 2021 and 2022. We had net cash used in operating activities of $6.5 million and $14.5 million in the three months ended March 31, 2021 and 2022, respectively, as compared to net cash provided by operating activities of $1.2 million, $33.3 million and $8.6 million in 2019, 2020 and 2021, respectively. We believe the negative cash flow in the three months ended March 31, 2021 and 2022 was primarily due to timing difference in the recording of our operating assets and liabilities. In 2021 and the three months ended March 31, 2022, ocean freight costs increased significantly due to COVID-19 induced travel restrictions which substantially reduced global air freight capacities and led to shortages in global ocean freight capacities. Shipping costs to procure our inventories, including ocean freight costs, are included in the balance of inventories and the increase in ocean freight costs has contributed to an increase in our inventories and cash outflows from operating activities in 2021 and the three months ended March 31, 2022. We believe ocean freight costs will continue to increase in 2022 as the uncertainty regarding the impacts of the COVID-19 pandemic remains, and there is risk that we may not be able to pass the cost increases entirely to customers, in which case, our margins may be adversely affected.</w:t>
      </w:r>
    </w:p>
    <w:p>
      <w:pPr>
        <w:spacing w:after="0" w:line="18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expect to continue to procure inventories and invest in additional warehouses and logistics infrastructure to further expand our business, and there can be no assurance that we will successfully execute our business strategies. We may not generate sufficient revenues for a number of reasons, including increasing gasoline and transportation costs, inflation, increasing competition, challenging macro-economic environment due to the COVID-19 pandemic, as well as other risks discussed herein. Our ability to remain profitable in the future will not only depend on our efforts to generate revenues from our products and services but also to control our costs. If we are unable to adequately control the costs associated with our operations, we may experience losses and negative cash flows from operating activities in the future.</w:t>
      </w:r>
    </w:p>
    <w:p>
      <w:pPr>
        <w:spacing w:after="0" w:line="17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We believe that taking into account cash on hand and our operating cash flows, we have sufficient working capital for our present requirements and for at least the next 12 months from the date of this prospectus. However, we may need additional capital resources in the future if we experience changes in business condition or other unanticipated developments, or if we wish to pursue opportunities for investments, acquisitions, capital expenditures or similar 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requires significant capital investments and a high level of working capital to sustain our operations and business growth.</w:t>
      </w:r>
    </w:p>
    <w:p>
      <w:pPr>
        <w:spacing w:after="0" w:line="248"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We require significant capital investments in our business which consist of building and setting up warehouse facilities, technology, sorting and other types of equipment. These investments support both our existing business and anticipated growth. Forecasting projected volume involves many factors which are subject to uncertainty, such as general economic trends, changes in governmental regulation and competition. If we do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not accurately forecast our future capital investment needs, we could have excess capacity or insufficient capacity, either of which would negatively affect our revenues and profitability. In addition to forecasting our capital investment requirements, we adjust other elements of our operations and cost structure in response to adverse economic conditions; however, these adjustments may not be sufficient to allow us to maintain our operating margins.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strategic investments or acquisitions may be unsuccessful.</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6"/>
          <w:szCs w:val="16"/>
          <w:color w:val="auto"/>
        </w:rPr>
        <w:t>We have acquired, and may continue to acquire other assets, technologies, products and businesses that are complementary to our existing business or otherwise. We may also enter into strategic partnerships or cooperation agreements with other businesses to expand our marketplace. Negotiating these transactions can be time-consuming, challenging and expensive, and our ability to close these transactions may often be subject to regulatory approvals that are beyond our control. In addition, investments and acquisitions could result in the use of substantial amounts of cash, potentially dilutive issuances of equity securities, significant amortization expenses related to intangible assets, significant diversion of management attention and exposure to potential unknown liabilities of the acquired business. Moreover, the cost of identifying and consummating investments and acquisitions and integrating the acquired businesses into ours may be significant, and the integration of acquired businesses may be disruptive to our existing business operations. Consequently, these transactions, even if undertaken and announced, may not close. For one or more of those transactions, we may issue additional equity securities that would dilute our shareholders’ ownership interest, use cash that we may need in the future to operate our business, incur debt on terms unfavorable to us or that we are unable to repay, incur expenses or substantial liabilities, encounter difficulties retaining key employees of the acquired company or integrating diverse software codes or business cultures, encounter difficulties in assimilating acquired operations, encounter diversion of management’s attention to other business concerns, and become subject to adverse tax consequences, substantial depreciation, impairment losses, or deferred compensation charges. If our investments and acquisitions are not successful, our business, financial condition, results of operations and prospects may be materially and adversely affected.</w:t>
      </w:r>
    </w:p>
    <w:p>
      <w:pPr>
        <w:spacing w:after="0" w:line="17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IT personnel, and if we are unable to attract, develop, motivate and retain well-qualified employees, our business could be harmed.</w:t>
      </w:r>
    </w:p>
    <w:p>
      <w:pPr>
        <w:spacing w:after="0" w:line="170"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other key personnel. We are highly dependent upon our senior management, particularly our chief executive officer, as well as our vice presidents and other members of our senior management team.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78"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increasing scale of our business also requires us to hire and retain a wide range of capable and experienced personnel and technology talents who can adapt to a dynamic, competitive and challenging business environment. Competition for talents is intense, and the availability of suitable and qualified candidates is limited in the jurisdiction we operate. Competition for talents, together with inflation, could cause us to offer higher compensation and other benefits to attract and retain them, which further increase our labor cost. Even if we were to offer higher compensation and other benefits, these individuals may not choose to join or continue to work for us. Any failure to attract or retain key management and personnel could severely disrupt our business and growth.</w:t>
      </w:r>
    </w:p>
    <w:p>
      <w:pPr>
        <w:spacing w:after="0" w:line="19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will need to expand and effectively manage our managerial, operational, financial and other resources in order to successfully pursue our business strategies. We may not be successful in maintaining our unique company culture and continuing to attract or retain qualified management and personnel in the future. If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not be able to prevent others from unauthorized use of our intellectual property, which could harm our business and competitive position.</w:t>
      </w:r>
    </w:p>
    <w:p>
      <w:pPr>
        <w:spacing w:after="0" w:line="260" w:lineRule="exact"/>
        <w:rPr>
          <w:sz w:val="20"/>
          <w:szCs w:val="20"/>
          <w:color w:val="auto"/>
        </w:rPr>
      </w:pPr>
    </w:p>
    <w:p>
      <w:pPr>
        <w:jc w:val="both"/>
        <w:ind w:left="120" w:right="80" w:firstLine="881"/>
        <w:spacing w:after="0" w:line="342" w:lineRule="auto"/>
        <w:rPr>
          <w:sz w:val="20"/>
          <w:szCs w:val="20"/>
          <w:color w:val="auto"/>
        </w:rPr>
      </w:pPr>
      <w:r>
        <w:rPr>
          <w:rFonts w:ascii="Arial" w:cs="Arial" w:eastAsia="Arial" w:hAnsi="Arial"/>
          <w:sz w:val="16"/>
          <w:szCs w:val="16"/>
          <w:color w:val="auto"/>
        </w:rPr>
        <w:t>We rely on a wide portfolio of intellectual property to operate our businesses and we may not be able to effectively protect these intellectual property and proprietary rights against infringement, misappropriation or other violation, or efforts to safeguard our intellectual property may be costly.</w:t>
      </w:r>
    </w:p>
    <w:p>
      <w:pPr>
        <w:spacing w:after="0" w:line="124"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rely on a combination of trademark, copyright and trade secret protection laws in the U.S., the PRC and other jurisdictions, as well as confidentiality procedures and contractual provisions, to protect our intellectual property rights. We enter into confidentiality agreements with our employees and any third parties who may access our proprietary information, and we rigorously control access to our technology and information. However, we cannot guarantee that we have entered into confidentiality agreements with each party that may have or have had access to our trade secrets or proprietary information. Such agreements may be breached by counterparties, who may disclose our proprietary information, including our trade secrets, or claim ownership in intellectual property that we believe is owned by us, and there may not be adequate remedies available to us for any such breach. In addition, we do not enter into intellectual property assignment agreements in the ordinary course and rely on the intellectual property rights we obtain from our employees by operation of law. The intellectual property rights we obtain by operation of law may not extend to all intellectual property rights developed by our employees and contractors and individuals not subject to invention assignment agreements may make adverse ownership claims to our current and future intellectual property rights. We therefore may not possess ownership rights in all intellectual property rights that we regard as our own or that are necessary for the conduct of our business.</w:t>
      </w:r>
    </w:p>
    <w:p>
      <w:pPr>
        <w:spacing w:after="0" w:line="18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Intellectual property protection may not be sufficient in the regions in which we operate. Our trademarks or other intellectual property rights may be challenged by others through administrative process or litigation, and our pending trademark applications may not be allowed. In addition, policing any unauthorized use of our intellectual property is difficult, time-consuming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and some courts in the U.S. and certain foreign jurisdictions are less willing or unwilling to protect trade secrets. Furthermore, it is often difficult to maintain and enforce intellectual property rights in the PRC. Statutory laws and regulations in the PRC are subject to judicial interpretation and enforcement and may not be applied consistently due to the lack of clear guidance on statutory interpretation. Confidentiality and non-compete agreements may be breached by counterparties, and there may not be adequate remedies available to us for any such breach. Accordingly, we may not be able to effectively protect our intellectual property rights or the intellectual properties licensed from third parties, or to enforce our contractual rights in the PRC and other jurisdictions we operate.</w:t>
      </w:r>
    </w:p>
    <w:p>
      <w:pPr>
        <w:spacing w:after="0" w:line="18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our trade secrets may be leaked or otherwise become available to, or be independently discovered by, our competitors. If any of our trade secrets were to be lawfully obtained or independently developed by a competitor or other third parties, we would have no right to prevent them from using that technology or information to compete with us. Any failure in protecting or enforcing our intellectual property rights could have a material adverse effect on our business, financial condition and results of operations.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third-party trade names or trademarks to avoid potential trademark litigation which may limit our ability to use our trade names or trademarks in certain fields of business.</w:t>
      </w:r>
    </w:p>
    <w:p>
      <w:pPr>
        <w:spacing w:after="0" w:line="181" w:lineRule="exact"/>
        <w:rPr>
          <w:sz w:val="20"/>
          <w:szCs w:val="20"/>
          <w:color w:val="auto"/>
        </w:rPr>
      </w:pPr>
    </w:p>
    <w:p>
      <w:pPr>
        <w:ind w:left="120" w:firstLine="881"/>
        <w:spacing w:after="0" w:line="219" w:lineRule="exact"/>
        <w:rPr>
          <w:sz w:val="20"/>
          <w:szCs w:val="20"/>
          <w:color w:val="auto"/>
        </w:rPr>
      </w:pPr>
      <w:r>
        <w:rPr>
          <w:rFonts w:ascii="Arial" w:cs="Arial" w:eastAsia="Arial" w:hAnsi="Arial"/>
          <w:sz w:val="16"/>
          <w:szCs w:val="16"/>
          <w:color w:val="auto"/>
        </w:rPr>
        <w:t>We have not yet registered certain of our trademarks in all of our potential markets, although we have registered “GIGACLOUD TECHNOLOGY” and “</w:t>
      </w:r>
      <w:r>
        <w:rPr>
          <w:rFonts w:ascii="SimSun" w:cs="SimSun" w:eastAsia="SimSun" w:hAnsi="SimSun"/>
          <w:sz w:val="14"/>
          <w:szCs w:val="14"/>
          <w:color w:val="auto"/>
        </w:rPr>
        <w:t>大健云仓</w:t>
      </w:r>
      <w:r>
        <w:rPr>
          <w:rFonts w:ascii="Arial" w:cs="Arial" w:eastAsia="Arial" w:hAnsi="Arial"/>
          <w:sz w:val="16"/>
          <w:szCs w:val="16"/>
          <w:color w:val="auto"/>
        </w:rPr>
        <w:t>” in Hong Kong. If we apply to register these trademarks in other countries, and/or other trademarks in the U.S. and other countries, our applications may not be allowed for registration in a timely fashion or at all; and further, our registered trademarks may not be maintained or enforced. In addition, third parties may file first for our trademarks in certain countries. If they succeed in registering such trademarks, and if we are not successful in challenging such third-party rights, we may not be able to use these trademarks to market our products and technologies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And, over the long-term, if we are unable to establish name recognition based on our trademarks, then our marketing abilities may be materially adversely impacted.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misappropriating or otherwise violating the intellectual property rights of third parties.</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 ecommerce industry is characterized by vigorous protection and pursuit of intellectual property rights, which has resulted in protracted and expensive litigation for many companies. We may be subject to claims and litigation by third parties that we infringe, misappropriate or otherwise violate their intellectual property rights. Furthermore, under our current marketplace, the products offered in our marketplace are supplied by third-party merchants, who are separately responsible for sourcing the products that are sold in our marketplace. We have been and may continue to be subject to allegations, and may in the future be subject to lawsuits, claiming that products listed or sold through our marketplace by third-party merchants are counterfeit, unauthorized, illegal, or otherwise infringe, misappropriate or violate third-party copyrights, trademarks, patents or other intellectual property rights, or that content posted on our user interface contains misleading information on description of products and comparable prices in the U.S., China or any other jurisdictions we have operations. The costs of supporting such litigation and disputes are considerable, and there can be no assurances that favorable outcomes will be obtained. Further, the application and interpretation of China’s intellectual property laws and the procedures and standards for granting intellectual property rights in China are still evolving and are uncertain, and we cannot assure you that PRC courts or regulatory authorities would agree with our analysis. As our business expands and the number of competitors in our market increases and overlaps occur, we expect that infringement claims may increase in number and significance. Any claims or proceedings against us, whether meritorious or not, could be time-consuming, result in considerable litigation costs, require significant amounts of management time or result in the diversion of significant operational resources, any of which could materially adversely affect our business, financial condition and results of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Legal claims regarding intellectual property rights are subject to inherent uncertainties due to the oftentimes complex issues involved, and we cannot be certain that we will be successful in defending ourselves against such claims. In addition, whereas we currently do not own or in-license any patents, some of our larger competitors have extensive portfolios of issued patents.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pay substantial damages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develop non-infringing technology or intellectual property, which could require significant effort and expense and may ultimately not be successful.</w:t>
      </w:r>
    </w:p>
    <w:p>
      <w:pPr>
        <w:spacing w:after="0" w:line="16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have received in the past, and we may receive in the future, communications alleging that certain items posted on or sold through our marketplace infringe, misappropriate or otherwise violate third-party copyrights, designs, marks and trade names or other intellectual property rights or other proprietary rights. Brand and content owners and other proprietary rights owners have actively asserted their purported rights against online companies. In addition to litigation from rights owners, we may be subject to regulatory, civil or criminal proceedings and penalties if governmental authorities believe we have aided and abetted in the sale of counterfeit or infringing products. Such claims, whether or not meritorious, may result in the expenditure of significant financial, managerial and operational resources, injunctions against us or the payment of damages by us. We may need to obtain licenses from third parties who allege that we have violated their rights, but such licenses may not be available on terms acceptable to us, or at all. These risks have been amplified by the increase in third parties whose sole or primary business is to assert such claims.</w:t>
      </w:r>
    </w:p>
    <w:p>
      <w:pPr>
        <w:spacing w:after="0" w:line="165"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Furthermore, we use open source software in connection with our GigaCloud Marketplace.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Additionally, the use and distribution of open source software can lead to greater risks than the use of third-party commercial software, and some open source projects have known vulnerabilities and open source software does not come with warranties or other contractual protections regarding infringement claims or the quality of the code.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While we monitor our use of open source software and try to ensure that none is used in a manner that would require us to disclose our source code or that would otherwise breach the terms of an open source license, such use could inadvertently occur, or could be claimed to have occurred, in part because open source license terms are often ambiguous. These claims could also result in litigation, which could be costly to defend, and if portions of our software are determined to be subject to an open source license or if the license terms for the open source software that we incorporate change, we could be required to publicly release or disclose our source code or pay damages for breach of contract or cease offering the implicated services unless and until we can re-engineer all or a portion of our software, including GigaCloud Marketplace, in a manner that avoids infringement or otherwise change our business, any of which could reduce or eliminate the value of our services and adversely affect our business. The re-engineering process could require us to expend significant additional research and development resources, and we may not be able to complete the re-engineering process successfully. Further, we could be required to seek licenses from third parties to continue using certain software or offering certain of our services or to discontinue the use of such software or the sale of our affected services in the event we could not obtain such licenses, which may not be available to us on commercially reasonable terms or at all. Any of the foregoing could be harmful to our business, financial condition and results of operations.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legal and regulatory proceedings from time to time in the ordinary course of our business.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spacing w:after="0" w:line="188"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Moreover, becoming a public company will raise our public profile, which may result in increased litigation as well as increased public awareness of any such litigation. There is substantial uncertainty regarding the scope and application of many of the laws and regulations to which we are subject, which increases the risk that we will be subject to claims alleging violations of those laws and regulations. In the future, we may also be accused of having, or be found to have, infringed, misappropriated or otherwise violated third-party intellectual property rights.</w:t>
      </w:r>
    </w:p>
    <w:p>
      <w:pPr>
        <w:spacing w:after="0" w:line="157"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1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sufficient to cover all the risks which our operations are exposed to and therefore we are susceptible to significant liabilities.</w:t>
      </w:r>
    </w:p>
    <w:p>
      <w:pPr>
        <w:spacing w:after="0" w:line="170"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We have limited insurance coverage. We do not maintain business interruption insurance, cybersecurity insurance or general third-party liability insurance, nor do we maintain key-man life insurance. Although we maintain product liability insurance,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restrictions could materially and adversely affect our business, financial condition and results of operations.</w:t>
      </w:r>
    </w:p>
    <w:p>
      <w:pPr>
        <w:spacing w:after="0" w:line="225" w:lineRule="exact"/>
        <w:rPr>
          <w:sz w:val="20"/>
          <w:szCs w:val="20"/>
          <w:color w:val="auto"/>
        </w:rPr>
      </w:pPr>
    </w:p>
    <w:p>
      <w:pPr>
        <w:jc w:val="both"/>
        <w:ind w:left="120" w:right="500" w:firstLine="881"/>
        <w:spacing w:after="0" w:line="263" w:lineRule="auto"/>
        <w:rPr>
          <w:sz w:val="20"/>
          <w:szCs w:val="20"/>
          <w:color w:val="auto"/>
        </w:rPr>
      </w:pPr>
      <w:r>
        <w:rPr>
          <w:rFonts w:ascii="Arial" w:cs="Arial" w:eastAsia="Arial" w:hAnsi="Arial"/>
          <w:sz w:val="18"/>
          <w:szCs w:val="18"/>
          <w:color w:val="auto"/>
        </w:rPr>
        <w:t>We are focused on facilitating B2B ecommerce transactions for large parcel merchandise. Our cross-border logistics services may be affected by trade restrictions implemented by countries or territories in which our customers are located or in which our customers’ products are manufactured or sold.</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For example, we are subject to risks relating to changes in trade policies, tariff regulations, embargoes or other trade restrictions adverse to our customers’ business. Actions by governments that result in restrictions on movement of parcel or otherwise could also impede our ability to carry out our cross-border ecommerce solutions and logistics services. In addition, international trade and political issues, tensions and conflicts may cause delays and interruptions to cross-border transportation and result in limitations on our insurance coverage. If we are unable to connect our global customers in our marketplace or provide solutions to transports parcel to and from countries with trade restrictions in a timely manner or at all, our business, financial condition and results of operations could be materially and adversely affected.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lack of requisite approvals, licenses or permits applicable to our business operations may harm our business.</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may not be able to obtain all the licenses and approvals that may be deemed necessary to operate our business. Because we operate in multiple jurisdictions, the relevant laws and regulations, as well as their interpretations, could be different from the U.S. This can make it difficult to know which licenses and approvals are necessary, or the processes for obtaining them. For these same reasons, we also cannot be certain that we will be able to maintain the licenses and approvals that we have previously obtained, or that once they expire we will be able to renew them. We cannot be sure that our interpretations of the rules and their exemptions have always been or will be consistent with those of the local regulators.</w:t>
      </w:r>
    </w:p>
    <w:p>
      <w:pPr>
        <w:spacing w:after="0" w:line="161"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As we expand our businesses, we may be required to obtain new licenses and will be subject to additional laws and regulations in the markets we plan to operate in. If we fail to obtain, maintain or renew any required licenses or approvals or make any necessary filings or are found to require licenses or approvals that we believed were not necessary or we were exempted from obtaining, we may be subject to various penalties, such as confiscation of the revenues or assets that were generated through the unlicensed business activities, imposition of fines, suspension or cancelation of the applicable license, written reprimands, termination of third-party arrangements, criminal prosecution and the discontinuation or restriction of our operations. Any such penalties may disrupt our business operations and materially and adversely affect our business, financial condition and results of operations.</w:t>
      </w:r>
    </w:p>
    <w:p>
      <w:pPr>
        <w:spacing w:after="0" w:line="1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have granted and expect to continue to grant share-based awards in the future under our share incentive plan, which may result in increased share-based compensation expenses.</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adopted the 2008 share incentive plan in 2008, together with the amendments thereto, the “2008 Plan,” for the purpose of granting share-based compensation awards to employees, directors and consultants to incentivize their performance and align their interests with ours. According to the 2008 Plan, the maximum aggregate number of shares which may be issued pursuant to all awards under the plan is 2,513,743 ordinary shares. We are authorized to grant options, share appreciation rights, share awards of restricted shares and non-restricted shares and other types of awards the administrator of the 2008 Plan decides.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March 2017, our shareholders and board of directors approved and adopted the 2017 share incentive plan, together with the amendments thereto, the “2017 Plan.” According to the 2017 Plan, the maximum aggregate number of shares which may be issued pursuant to all awards under the plan is 6,367,238 ordinary shares. We are authorized to grant option, share appreciation right, dividend equivalent right, restricted share, restricted share unit or other right or benefit under the 2017 Plan.</w:t>
      </w:r>
    </w:p>
    <w:p>
      <w:pPr>
        <w:spacing w:after="0" w:line="187"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We account for compensation costs for all share options using a fair-value based method and recognize expenses in our consolidated statements of comprehensive income in accordance with U.S. GAAP. As of December 31, 2021, awards to purchase an aggregate of 5,757,713 ordinary shares under the 2008 Plan and the 2017 Plan were granted, excluding awards that were forfeited, repurchased, cancelled, lapsed, settled or otherwise expired after the relevant grant dates. As a result of these grants, we incurred share-based compensation of nil (restated) and $9.7 million in 2020 and 2021, respectively. In February 2022, we issued 26,738 ordinary shares to our former chief financial officer and as a result, share-based compensation expenses of $199 thousand was recorded in the three months ended March 31, 2022. For more information on our share incentive plan, see “Management—Share Incentive Plans.” We will incur additional share-based compensation expenses in the future as we continue to grant share-based incentives.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could be held liable if our GigaCloud Marketplace is used for fraudulent, illegal or improper purposes such as money laundering.</w:t>
      </w:r>
    </w:p>
    <w:p>
      <w:pPr>
        <w:spacing w:after="0" w:line="237"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Despite we have taken and continue to take measures, our GigaCloud Marketplace is susceptible to potentially illegal or improper uses, which could damage our reputation and subject us to liability. These may include the use of our marketplace in connection with fraudulent sales of merchandise and other intellectual property piracy, money laundering, bank fraud and prohibited sales of restricted products. Criminals are using increasingly sophisticated methods to engage in illegal activities such as counterfeiting and fraud and incidents of fraud could increase in the future. We could be subject to fraud claims if confidential information obtained from our users is used for unauthorized purposes.</w:t>
      </w:r>
    </w:p>
    <w:p>
      <w:pPr>
        <w:spacing w:after="0" w:line="176"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Our risk management policies and procedures may not be fully effective in identifying, monitoring and managing these risks. We are not able to monitor in each case the sources of funds for our digital financial services platform users, or the ways in which they are used. An increase in fraudulent transactions or publicity regarding payment disputes could harm our reputation and reduce customers confidence in our marketplace and solutions.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Natural disasters, pandemics, epidemics, acts of war, terrorist attacks and other events could materially and adversely affect our business.</w:t>
      </w:r>
    </w:p>
    <w:p>
      <w:pPr>
        <w:spacing w:after="0" w:line="248" w:lineRule="exact"/>
        <w:rPr>
          <w:sz w:val="20"/>
          <w:szCs w:val="20"/>
          <w:color w:val="auto"/>
        </w:rPr>
      </w:pPr>
    </w:p>
    <w:p>
      <w:pPr>
        <w:ind w:left="120" w:right="340" w:firstLine="881"/>
        <w:spacing w:after="0" w:line="257" w:lineRule="auto"/>
        <w:rPr>
          <w:sz w:val="20"/>
          <w:szCs w:val="20"/>
          <w:color w:val="auto"/>
        </w:rPr>
      </w:pPr>
      <w:r>
        <w:rPr>
          <w:rFonts w:ascii="Arial" w:cs="Arial" w:eastAsia="Arial" w:hAnsi="Arial"/>
          <w:sz w:val="18"/>
          <w:szCs w:val="18"/>
          <w:color w:val="auto"/>
        </w:rPr>
        <w:t>Severe weather conditions and other natural or man-made disasters, including storms, floods, fires, earthquakes, epidemics, pandemics, conflicts, unrest, or terrorist attacks, may disrupt our business and result in decreased revenues. Customers may reduce their demand for logistics services or shipments, or our costs to operate our business may increase, either of which could have a material adverse effect on us. Any such event affecting one of our major facilities could result in a significant interruption in or disruption of our business, financial condition and results of operations.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and ecommerce in the U.S. and globally is evolving, and unfavorable changes or failure by us to comply with these regulations could substantially harm our business and results of operations.</w:t>
      </w:r>
    </w:p>
    <w:p>
      <w:pPr>
        <w:spacing w:after="0" w:line="170" w:lineRule="exact"/>
        <w:rPr>
          <w:sz w:val="20"/>
          <w:szCs w:val="20"/>
          <w:color w:val="auto"/>
        </w:rPr>
      </w:pPr>
    </w:p>
    <w:p>
      <w:pPr>
        <w:ind w:left="120" w:right="40" w:firstLine="881"/>
        <w:spacing w:after="0" w:line="267" w:lineRule="auto"/>
        <w:rPr>
          <w:sz w:val="20"/>
          <w:szCs w:val="20"/>
          <w:color w:val="auto"/>
        </w:rPr>
      </w:pPr>
      <w:r>
        <w:rPr>
          <w:rFonts w:ascii="Arial" w:cs="Arial" w:eastAsia="Arial" w:hAnsi="Arial"/>
          <w:sz w:val="17"/>
          <w:szCs w:val="17"/>
          <w:color w:val="auto"/>
        </w:rPr>
        <w:t>We are subject to general business regulations and laws as well as regulations and laws specifically governing the Internet and ecommerce in the U.S. and globally. Existing and future regulations and laws could impede the growth of the Internet, ecommerce or mobile commerce. These regulations and laws may involve taxes, tariffs, privacy and data security, anti-spam, content protection, electronic contracts and communications, consumer protection, Internet neutrality and gift cards.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Further, if we enter into new market segments or geographical areas and expand the products and services we offer, we may be subject to additional laws and regulatory requirements or prohibited from conducting our business, or certain aspects of it, in certain jurisdictions. We will incur additional costs complying with these additional obligations and any failure or perceived failure to comply would adversely affect our business and reputation.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We are subject to U.S., PRC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6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We are also subject to anti-bribery laws in the PRC that generally prohibit companies and their intermediaries from making payments to government officials for the purpose of obtaining or retaining business or securing any other improper advantage. State and national anti-corruption laws are interpreted broadly and prohibit companies and their employees and agents from authorizing, promising, offering, providing, soliciting or receiving, directly or indirectly, improper payments or anything else of value to recipients in the public or private sector. We may engage third-party carriers outside of the U.S. to deliver our parcels internationally and/or other third-party agents to obtain necessary permits, licenses, patent registrations and other regulatory approvals in new geographic areas which we are expanding into. We can be held liable for the corrupt or other illegal activities of our employees, agents and third-party carriers,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spacing w:after="0" w:line="184"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61"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In the U.S.,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or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about their data collection, use and sharing practices and provide such consumers new data protection and privacy rights, including the ability to opt 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On November 3, 2020, California voters approved a new privacy law, the California Privacy Rights Act, or CPRA, which significantly modifies the CCPA, including by expanding consumers’ rights with respect to certain personal information and creating a new state agency to oversee implementation and enforcement efforts. Many of the CPRA’s provisions will become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effective on January 1, 2023. State laws are changing rapidly and there is discussion in the U.S. of a new comprehensive federal data privacy law to which we would become subject if it is enacted.</w:t>
      </w:r>
    </w:p>
    <w:p>
      <w:pPr>
        <w:spacing w:after="0" w:line="170" w:lineRule="exact"/>
        <w:rPr>
          <w:sz w:val="20"/>
          <w:szCs w:val="20"/>
          <w:color w:val="auto"/>
        </w:rPr>
      </w:pPr>
    </w:p>
    <w:p>
      <w:pPr>
        <w:ind w:left="120" w:firstLine="881"/>
        <w:spacing w:after="0" w:line="266" w:lineRule="auto"/>
        <w:rPr>
          <w:sz w:val="20"/>
          <w:szCs w:val="20"/>
          <w:color w:val="auto"/>
        </w:rPr>
      </w:pPr>
      <w:r>
        <w:rPr>
          <w:rFonts w:ascii="Arial" w:cs="Arial" w:eastAsia="Arial" w:hAnsi="Arial"/>
          <w:sz w:val="17"/>
          <w:szCs w:val="17"/>
          <w:color w:val="auto"/>
        </w:rPr>
        <w:t>In the PRC, the PRC regulatory and enforcement regime with regard to data security and data protection is constantly evolving and can be subject to significant change, making the extent of our obligations in that regard uncertain. In November 2016, the Standing Committee of the NPC promulgated the PRC Cybersecurity Law, which took effect on June 1, 2017. According to the PRC Cybersecurity Law and relevant regulations, network operators are obligated to provide assistance and support in accordance with the law for public security and national security authorities to protect national security or assist with criminal investigations. In addition, the PRC Cybersecurity Law provides that personal information and important data collected and generated by operators of critical information infrastructure in the course of their operations in the PRC should be stored in the PRC, and the law imposes heightened regulation and additional security and privacy protection obligations on operators of critical information infrastructure. However, there are uncertainties with respect to how the PRC Cybersecurity Law will be implemented and interpreted in practice. PRC regulators, including the Ministry of Industry and Information Technology, or the MIIT, and the CAC have been increasingly focused on regulation in the areas of data security and data protection. Furthermore, according to the Measures for Cybersecurity Review (2020 Version) promulgated by the CAC and certain other PRC regulatory authorities in April 2020, which became effective in June 2020, “operators of critical information infrastructure” must pass a cybersecurity review when purchasing network products and services which do or may affect national security. Due to the lack of further interpretations, the exact scope of “operator of critical information infrastructure” under the Measures for Cybersecurity Review (2020 Version) remains unclear as of the date of this prospectus. On July 10, 2021, the CAC issued a revised draft of the Measures for Cybersecurity Review for public comments, which required that, in addition to “operator of critical information infrastructure,” any “data processor” carrying out data processing activities that affect or may affect national security should also be subject to cybersecurity review. On December 28, 2021, the Measures for Cybersecurity Review (2021 Version) were promulgated, which has become effective on February 15, 2022 and simultaneously replaced the Measures for Cybersecurity Review (2020 Version) in whole. The Measures for Cybersecurity Review (2021 Version) further iterated that any “network platform operators” carrying out data processing activities that affect or may affect national security should be subject to cybersecurity review and any network platform operator possessing personal information of more than one million users which seeks to list in a foreign stock exchange should also be subject to cybersecurity review. The Measures for Cybersecurity Review (2021 Version) further elaborated the factors to be considered when assessing the national security risks of the relevant activities, including, among others, (i) the risk of core data, important data or a large amount of personal information being stolen, leaked, destroyed, and illegally used or exited the country, and (ii) the risk of critical information infrastructure, core data, important data or a large amount of personal information being affected, controlled, or maliciously used by foreign governments after listing abroad. On November 14, 2021, the CAC published the Regulations on Network Data Security Protection (Draft for Comments) for public comments, which reiterates that data processors that process personal information of more than one million users listing in a foreign country should apply for a cybersecurity review.</w:t>
      </w:r>
    </w:p>
    <w:p>
      <w:pPr>
        <w:spacing w:after="0" w:line="19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Due to the uncertainties in the interpretation of data processing activities that affect or may affect national security, in July 2021, we made an inquiry with the relevant local branch of the CAC regarding the interpretation of the revised draft Measures for Cybersecurity Review after the revised draft of the Measures for Cybersecurity Review was released, and in March 2022, after the Measures for Cybersecurity Review (2021 Version) came into effect, we made another inquiry with the CCRC regarding the interpretation of the Measures for Cybersecurity Review (2021 Version). Based on the descriptions regarding our business operations and our marketplace, the relevant local authority and the CCRC concurred with us that we are not required to go through a cybersecurity review with the CAC because (i) our GigaCloud Marketplace is operated in Hong Kong under our Hong Kong Subsidiary with under one million users, and (ii) our GigaCloud Marketplace is a B2B ecommerce platform and any data we collected on our sellers and buyers are limited without any personal information. Based on the foregoing and also the advice of our PRC legal counsel, Han Kun Law Offices, we believe we, including our PRC Subsidiaries and our Hong Kong Subsidiary, are currently not required to go through a cybersecurity review with the CAC as of the date hereof. As of the date of this prospectus, we have also not been involved in any investigations 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cybersecurity or data security initiated by related governmental regulatory authorities, and we have not received any inquiry, notice, warning, or sanction in such respect. However, as the Measures for Cybersecurity Review (2021 Version) were newly adopted, and the Regulations on Network Data Security Protection (Draft for Comments) have not been adopted, there remains uncertainty in the interpretation and enforcement of such PRC cybersecurity laws and regulations. Thus, we cannot assure you that we would not be subject to cybersecurity review requirement, and if so, that we would be able to pass such review in relation to this offering. Furthermore, we cannot guarantee that the relevant authority that we have inquired will be the authorized regulatory body to make a determination that we are not subject to the requirement of cybersecurity review. If any interpretation or implementation rules of the relevant PRC cybersecurity laws and regulations in future provide that certain other PRC regulatory body shall be authorized to make the final decision on cybersecurity review, there can be no assurance that the authorized PRC regulatory body would reach the same conclusion as the authority we have inquired. If the authorized PRC regulatory body subsequently determines that we are required to go through such cybersecurity review or if any other PRC government authorities promulgates any interpretation or implementation rules before our listing that would require us to go through a cybersecurity review for this offering, we may fail to complete such cybersecurity review procedures in a timely manner, or at all. Any failure or delay in the completion of the cybersecurity review procedures or any other non-compliance with the related laws and regulations may result in fines or other penalties, including suspension of business and website closure as well as reputational damage or legal proceedings or actions against us, which may have material adverse effect on our business, financial condition or results of operations.</w:t>
      </w:r>
    </w:p>
    <w:p>
      <w:pPr>
        <w:spacing w:after="0" w:line="171"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June 2021, the Standing Committee of the NPC promulgated the PRC Data Security Law, which has taken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be for the purpose and within the limit that is prescribed by applicable laws and regulations. Furthermore, the General Office of the Central Committee of the Communist Party of China and the General Office of the State Council recently jointly promulgated the Opinions on Strictly Cracking Down on Illegal Securities Activities in Accordance with the Law which was made available to the public on July 6, 2021, or the Opinions on Strictly Cracking Down on Illegal Securities Activities, under which, among other things, relevant governmental authorities are required to accelerate the revision of the Provisions on Strengthening the Confidentiality and Archives Management Related to Overseas Issuance and Listing of Securities, and improve laws and regulations related to data security, cross-border data flow, and management of confidential information. However, there are uncertainties regarding the interpretation and implementation of these opinions or other relevant laws and regulations, how soon the legislative or administrative regulation making bodies will respond and what existing or new laws or regulations or detailed implementations and interpretations will be modified or promulgated, if any, and the potential impact of such modified or new laws and regulations will have.</w:t>
      </w:r>
    </w:p>
    <w:p>
      <w:pPr>
        <w:spacing w:after="0" w:line="179"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Furthermore, in the European Union, the collection and use of personal data is governed by the provisions of the General Data Protection Regulation, or the GDPR, in addition to other applicable laws and regulations. The GDPR came into effect in May 2018, repealing and replacing the European Union Data Protection Directive, and imposing revised data privacy and security requirements on companies in relation to the processing of personal data of European Union and U.K. data subjects. The GDPR, together with national legislation, regulations and guidelines of the European Union Member States and the U.K. governing the processing of personal data, impose strict obligations with respect to, and restrictions on, the collection, use, retention, protection, disclosure, transfer and processing of personal data. The GDPR imposes strict rules on the transfer of personal data to countries outside the European Union, including the U.S. For example, in 2016, the European Union and the U.S. agreed to a transfer framework for data transferred from the European Union to the U.S., called the Privacy Shield, but the Privacy Shield was invalidated in July 2020 by the Court of Justice of the European Union and it cast uncertainty around when the standard contractual clauses issued by the European Commission can be used. Companies must now conduct their own risk assessment and determine whether additional safeguards needs to be put in place. The GDPR authorizes fines for certain violations of up to 4% of the total global annual turnover of the preceding financial year or €20 million, whichever is greater. Such fines are in addition to any civil litigation claims by data subjects. Separately, Brexit could also lead to further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legislative and regulatory changes and increase our compliance costs. As of January 1, 2021, and the expiry of transitional arrangements agreed to between the U.K. and the European Union, data processing in the U.K. is governed by a U.K. version of the GDPR (combining the GDPR and the Data Protection Act 2018), exposing us to two parallel regimes, each of which potentially authorizes similar fines and other potentially divergent enforcement actions for certain violations. There will be increasing scope for divergence in application, interpretation and enforcement of the data protection law as between the U.K. and the European Union. Other jurisdictions outside the European Union are similarly introducing or enhancing privacy and data security laws, rules and regulations, which could increase our compliance costs and the risks associated with non-compliance. In Hong Kong, the Personal Data (Privacy) Ordinance (Cap. 486) of Hong Kong), or the PDPO, applies to data users such as our business, that control the collection, holding, processing or use of personal data in Hong Kong. We are subject to the general requirements under PDPO including the need to obtain the prescribed consent of the data subject and to take all practicable steps to protect the personal data held by data users against unauthorized or accidental access, loss or use. Breaches of the PDPO may lead to a variety of civil and criminal sanctions including fines and imprisonment. In addition, data subjects have a right to bring proceedings in court to seek compensation for damage. We cannot guarantee that we are, or will be, in compliance with all applicable international regulations as they are enforced now or as they evolve.</w:t>
      </w:r>
    </w:p>
    <w:p>
      <w:pPr>
        <w:spacing w:after="0" w:line="17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Many countries have adopted, or are in the process of adopting, regulations governing the use of cookies and similar tracking technologies, and individuals may be required to “opt-in” to their placement for the purposes of marketing. In the European Union, regulators are increasingly focusing on compliance with requirements in the online behavioral advertising ecosystem, and current national laws that implement the ePrivacy Directive are likely to be replaced by an EU Regulation, known as the ePrivacy Regulation, which will significantly increase fines for non-compliance. Informed consent is required for the placement of a cookie on a user’s device and for direct electronic marketing which prohibits pre-checked consents and imposes a requirement to ensure separate consents are sought for each type of cookie or similar technology. Recent guidance, court cases and regulatory and consumer group led action are driving increased attention compliance with these rules. Increased enforcement of these strict requirements could lead to substantial costs, require significant systems changes, limit the effectiveness of our marketing activities, divert the attention of our technology personnel, adversely affect our margins, increase costs, and subject us to additional liabilities. Widespread adoption of regulations that significantly restrict our ability to use performance marketing technology could adversely affect our ability to market effectively to current and prospective hosts and guests, and thus materially adversely affect our business, results of operations, and financial condition.</w:t>
      </w:r>
    </w:p>
    <w:p>
      <w:pPr>
        <w:spacing w:after="0" w:line="172"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laws and regulations, or similar laws and regulations in the jurisdictions we operate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b w:val="1"/>
          <w:bCs w:val="1"/>
          <w:i w:val="1"/>
          <w:iCs w:val="1"/>
          <w:color w:val="auto"/>
        </w:rPr>
        <w:t>We are subject to, and likely will be subject in the future to further, stringent and changing laws, regulations and standards relating to the provision of platforms, services and goods online. With regard to the current legislation in this area, our actual or perceived failure to comply with such obligations could harm our reputation, subject us to significant fines and liability, or otherwise adversely affect our business or prospects. We may also need to spend significant time and resource on understanding upcoming legislation in this area and considering and implementing changes to our websites, processes, policies and procedures in order to become compliant with current and future legislation.</w:t>
      </w:r>
    </w:p>
    <w:p>
      <w:pPr>
        <w:spacing w:after="0" w:line="16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are, and are likely increasingly to become, subject to various laws and regulations, as well as contractual obligations, relating to the provision of goods and services online, online platforms, e-commerce and online contracts, online advertising and the online provision of information and the regulation of online content, both in the context of the B2B and B2C aspects of our business. There is a body of legislation in this area with which we are already required to comply, including the E-Commerce Directive 2000/31/EC, the Consumer Rights Directive 2011/83/EU, as amended by the Directive on better enforcement and modernization of EU consumer protection (EU) 2019/2161 (and member state implementing legislation in each case) and the Electronic Commerce (Amendment etc.) (EU Exit) Regulations 2019, among others. In addition to the current legislative framework, this is an area of current legislative focus for a number of jurisdictions, including the European Union and the U.K. where proposals for short-term future legislative change has been published, particularly in relation to online harms. For example, the Digital Services Act (for which the EC published a proposal on December 15, 2020) proposes new obligations for online platforms and changes to the safe harbors from liability for infringing content. In addition, on May 12, 2021, the U.K. government published new draft legislation in the form of the Online Safety Bill which aims to establish a new regulatory regime to address illegal and harmful content online, including fines and other sanctions in the event of non-compliance. Other jurisdictions, including France, Germany, Singapore and Australia have each already passed legislation addressing online harms. As such, this regulatory landscape is changing rapidly and becoming increasingly more vigorous. The extent of the obligations (at least in certain jurisdictions)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8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Furthermore, following the expiration of the specified period, there will be increasing scope for divergence in application, interpretation and enforcement of the data protection law as between the U.K. and the European Union. 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w:t>
      </w:r>
    </w:p>
    <w:p>
      <w:pPr>
        <w:spacing w:after="0" w:line="188"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online and e-commerce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in this area could result in damage to our reputation, as well as proceedings or litigation by governmental agencies or other third parties, including class action litigation in certain jurisdictions, which could subject us to significant fines, sanctions, awards, injunctions, penalties or judgments. Any of the foregoing could have a material adverse effect on our business, results of operations, financial condition and prospects.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consolidated VIEs and their shareholders for a portion of our business operations. These arrangements may not be as effective as direct ownership in providing operational control.</w:t>
      </w:r>
    </w:p>
    <w:p>
      <w:pPr>
        <w:spacing w:after="0" w:line="170"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have relied and expect to continue relying on contractual arrangements with our consolidated VIEs and their shareholders to operate a portion of our business. See “Corporate History and Structure.”</w:t>
      </w:r>
    </w:p>
    <w:p>
      <w:pPr>
        <w:spacing w:after="0" w:line="170"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These contractual arrangements may not be as effective as direct ownership in providing us with control over our consolidated VIEs. For example, our consolidated VIEs and their shareholders could breach their contractual arrangements with us by, among other things, failing to conduct their operations in an acceptable manner or taking other actions that are detrimental to our interests. If we had direct ownership of our consolidated VIEs, we would be able to exercise our rights as a shareholder to effect changes in the board of directors of our consolidated VIEs, which in turn could implement changes, subject to any applicable fiduciary obligations, at the management and operational level. However, under the current contractual arrangements, we rely on the performance by our consolidated VIEs and their shareholders of their obligations under the contracts to exercise control over our consolidated VIEs. The shareholders of our consolidated VIEs may not act in the best interests of our company or may not perform their obligations under these contracts. Such risks exist throughout the period in which we intend to operate certain portions of our business through the contractual arrangements with our consolidated VIEs. As a result, we face increased risk that these shareholders may breach the contractual arrangements or take other actions that are detrimental to our interests.</w:t>
      </w:r>
    </w:p>
    <w:p>
      <w:pPr>
        <w:spacing w:after="0" w:line="185" w:lineRule="exact"/>
        <w:rPr>
          <w:sz w:val="20"/>
          <w:szCs w:val="20"/>
          <w:color w:val="auto"/>
        </w:rPr>
      </w:pPr>
    </w:p>
    <w:p>
      <w:pPr>
        <w:ind w:left="120" w:right="100" w:firstLine="881"/>
        <w:spacing w:after="0" w:line="253" w:lineRule="auto"/>
        <w:rPr>
          <w:sz w:val="20"/>
          <w:szCs w:val="20"/>
          <w:color w:val="auto"/>
        </w:rPr>
      </w:pPr>
      <w:r>
        <w:rPr>
          <w:rFonts w:ascii="Arial" w:cs="Arial" w:eastAsia="Arial" w:hAnsi="Arial"/>
          <w:sz w:val="18"/>
          <w:szCs w:val="18"/>
          <w:color w:val="auto"/>
        </w:rPr>
        <w:t>If our consolidated VIEs or their shareholders fail to perform their respective obligations under the contractual arrangements, we may have to incur substantial costs and expend additional resources to enforce such arrangements. For example, if the shareholders of our consolidated VIEs refuse to transfer their equity interest in our consolidated VIEs to us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our consolidated VIEs, our ability to exercise shareholders’ rights or foreclose the share pledge according to the contractual arrangements may be impaired. If these or other disputes between the shareholders of our consolidated VIEs and third parties were to impair our control over our consolidated VIEs, our ability to consolidate the financial results of our consolidated VIEs would be affected, which would in turn result in a material adverse effect on our business, financial condition, results of operations and prospects.</w:t>
      </w:r>
    </w:p>
    <w:p>
      <w:pPr>
        <w:spacing w:after="0" w:line="1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strategic decision to enter into contractual arrangements with our consolidated VIEs and their shareholders may subject the beneficiaries of the consolidated VIEs to greater uncertainty as to the legality of their share ownership.</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have entered into a series of control agreements with our consolidated VIEs and their respective shareholders, including our four principal consolidated VIEs established and operating in the U.S. and the U.K., namely GIGA CLOUD LOGISTICS INC, B.T.M TRAVEL AND TRADING LTD, COMHARBOR LIMITED and BRIHOME LIMITED. We entered into contractual arrangements with our principal consolidated VIEs because we needed to expeditiously set up our business in overseas market with minimized administrative constraints to capture market opportunities. In certain instances, the contractual arrangements provided us with potentially the flexibility to conduct business activities that could be subjected to restrictions on foreign investment. For example, the PRC government had imposed foreign ownership restriction and the licensing and permit requirements for companies in the industry of telecommunications services, and we had a consolidated VIE set up initially in mainland China from 2018 to 2020. To our knowledge, our subsidiaries and consolidated VIEs are not conducting business activities that are subject to restrictions on foreign investment. We launched our GigaCloud Marketplace under our Hong Kong Subsidiary, GigaCloud Technology (HongKong) Limited (formerly known as Giga Cloud Logistics (Hong Kong) Limited), in 2019. As our business scale in the overseas markets continued to grow and in anticipation of this offering, we began to restructure our non-principal VIEs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into wholly-owned subsidiaries. From 2018 to 2020, we had one consolidated VIE in mainland China, namely Suzhou GigaCloud, and in February 2021, our Cayman Islands holding company entered into a termination agreement with Suzhou GigaCloud to terminate the control agreement with respect to Suzhou GigaCloud and Suzhou GigaCloud became our indirect wholly-owned subsidiary in mainland China and we do not currently have any VIE in mainland China. See also “Corporate History and Structure—Contractual Arrangements with Our Consolidated VIEs and their Shareholders.”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Our strategic decision to operate a portion of our business under contractual agreements may subject the beneficiaries of the consolidated VIEs to greater uncertainty as to the legality of their share ownership. It is uncertain whether any new laws or regulations relating to contractual agreements will be adopted in the jurisdictions where our consolidated VIEs are, or had been organized, or if adopted, what they would provide. If we or our consolidated VIEs are, currently or retrospectively, found to be in violation of any existing or future laws or regulations in the jurisdictions where our consolidated VIEs are organized, we may be required to pay fines or penalties, or restructure our corporate structure which may affect our business operations. Either of these results, or any other significant penalties that might be imposed on us in this event, would have a material adverse effect on our financial condition and results of operations. We endeavor to restructure all of our VIEs within the next 12 months after the completion of this offering, however, we cannot guarantee that we will be able to complete the restructuring without any interruptions to our business operations, or that there will be no events that may cause delays in our corporate restructuring.</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Any failure by our consolidated VIEs or their shareholders to perform their obligations under such contractual arrangements would have a material and adverse effect on our business.</w:t>
      </w:r>
    </w:p>
    <w:p>
      <w:pPr>
        <w:spacing w:after="0" w:line="17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shareholders of our consolidated VIEs may have actual or potential conflicts of interest with us. These shareholders may refuse to sign or breach, or cause our consolidated VIEs to breach, or refuse to renew, the existing contractual arrangements we have with them and our consolidated VIEs, which would have a material and adverse effect on our ability to effectively control our consolidated VIEs and receive economic benefits from them. For example, the shareholders may be able to cause our agreements with our consolidated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166"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We may lose the ability to use, or otherwise benefit from, the assets held, or the services provided by our consolidated VIEs, which could severely disrupt our business, render us unable to conduct some or all of our business operations and constrain our growth.</w:t>
      </w:r>
    </w:p>
    <w:p>
      <w:pPr>
        <w:spacing w:after="0" w:line="14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We rely on contractual arrangements with our consolidated VIEs to use, or otherwise benefit from, certain overseas off-platform services that we need or may need in the future as our business continues to expand.</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contractual arrangements contain terms that specifically obligate the shareholders of our consolidated VIEs to ensure the valid existence of our consolidated VIEs. However, in the event the shareholders of our consolidated VIEs breach the terms of these contractual arrangements and voluntarily liquidate our consolidated VIEs, or our consolidated VIEs declare bankruptcy and all or part of their assets become subject to liens or rights of third-party creditors, or are otherwise disposed of without our consent, we may be unable to conduct some or all of our business operations or otherwise benefit from the assets held by our consolidated VIEs, which could have a material adverse effect on our business, financial condition and results of operations. Furthermore, if our consolidated VIEs undergo a voluntary or involuntary liquidation proceeding, their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shareholders or unrelated third-party creditors may claim rights to some or all of the assets of our consolidated VIEs, thereby hindering our ability to operate our business as well as constrain our growth.</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(As Revised) of the Cayman Islands, which we refer to as the Companies Act below,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U.S. In particular, the Cayman Islands have a less developed body of securities laws than the U.S. Some U.S. states, such as Delaware, have more fully developed and judicially interpreted bodies of corporate law than the Cayman Islands. In addition, Cayman Islands companies may not have standings to initiate a shareholder derivative action in a federal court of the U.S.</w:t>
      </w:r>
    </w:p>
    <w:p>
      <w:pPr>
        <w:spacing w:after="0" w:line="16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5"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users of the board of directors or controlling shareholders than they would as public shareholders of a company incorporated in the U.S. For a discussion of significant differences between the provisions of the Companies Act of the Cayman Islands and the laws applicable to companies incorporated in the U.S. and their shareholders, see “Description of Share Capital—Differences in Corporate Law.”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adversely affected by political tensions between the U.S. and the PRC.</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During 2018 and 2019, both the PRC and the U.S. each imposed tariffs that have adversely affected trade between the two countries. Although the U.S. and the PRC reached a Phase One trade deal in January 2020, there was no Phase Two trade deal implemented and most of the tariffs imposed remain in place, while uncertainty persists in the trade relationship between the two countries that impacts the global trade landscape. Although most of third-party suppliers for our 1P inventory are located in South East Asian countries and our 3P sellers are typically responsible for any export taxes and tariffs, we are unable to predict whether any of the countries in which our suppliers’ products are currently manufactured or may be manufactured in the future will be subject to new, different, or additional trade restrictions imposed by the U.S. or foreign governments or the likelihood, type or effect of any such restrictions.</w:t>
      </w:r>
    </w:p>
    <w:p>
      <w:pPr>
        <w:spacing w:after="0" w:line="17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Political tensions between the U.S. and the PRC have escalated due to, among other things, trade disputes, the COVID-19 outbreak, sanctions imposed by the U.S. Department of Treasury on certain officials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the Hong Kong Special Administrative Region and the central government of the PRC, U.S. export restrictions regarding China, restrictions on U.S. investments in designated “Communist Chinese Military Companies,” and the executive orders issued by former U.S. President Donald J. Trump that seek to prohibit certain transactions with ByteDance Ltd., Tencent Holdings Ltd., developers of certain software applications and the respective subsidiaries of such companies, as well as the Rules on Counteracting Unjustified Extra-territorial Application of Foreign Legislation and Other Measures promulgated by MOFCOM on January 9, 2021, which will apply to situations where the extra-territorial application of foreign legislation and other measures, in violation of international law and the basic principles of international relations, unjustifiably prohibits or restricts the citizens, legal persons or other organizations of China from engaging in normal economic, trade and related activities with a third State (or region) or its citizens, legal persons or other organizations.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companies with operations in the PRC from accessing U.S. capital markets. If any such deliberations were to materialize, the resulting legislation may have a material and adverse impact on the stock performance of issuers with operations in the PRC listing in the U.S. It is unclear if this proposed legislation would be enacted.</w:t>
      </w:r>
    </w:p>
    <w:p>
      <w:pPr>
        <w:spacing w:after="0" w:line="18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 substantial part of our revenues is derived from the U.S., and we are required to comply with the U.S. laws and regulations. However, we may be affected by future changes in the U.S. export control and other laws and regulations. If we were unable to transfer our parcels to and out of the U.S., our business, results of operations and financial condition would be materially and adversely affected.</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Changes in the political and economic policies of the PRC government may materially and adversely affect our business, financial condition and results of operations and may result in our inability to sustain our growth and expansion strategies.</w:t>
      </w:r>
    </w:p>
    <w:p>
      <w:pPr>
        <w:spacing w:after="0" w:line="170"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We have operations in the PRC. Accordingly, our business, financial condition and results of operations are affected to an extent by economic, political and legal developments in the PRC.</w:t>
      </w:r>
    </w:p>
    <w:p>
      <w:pPr>
        <w:spacing w:after="0" w:line="170"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is still owned by the government. In addition, the PRC government continues to play a significant role in regulating industry development by imposing industrial policies. The PRC government also exercises significant control over the PRC’s economic growth by allocating resources, controlling payment of foreign currency-denominated obligations, setting monetary policy and providing preferential treatment to particular industries or companies.</w:t>
      </w:r>
    </w:p>
    <w:p>
      <w:pPr>
        <w:spacing w:after="0" w:line="16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While the PRC economy has experienced significant growth in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operations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any of our potential products, and consequently have a material adverse effect on our businesses, financial condition and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PRC government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Class A ordinary shares could be materially and adversely effected.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uncertainties regarding the PRC legal system.</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A portion of our business operations are conducted in the PRC and are governed by PRC laws, rules and regulations. Our PRC Subsidiaries are subject to laws, rules and regulations applicable to foreign investment in the PRC. The PRC legal system is a civil law system based on written statutes. Unlike the common law system, prior court decisions may be cited for reference but have limited precedential value.</w:t>
      </w:r>
    </w:p>
    <w:p>
      <w:pPr>
        <w:spacing w:after="0" w:line="165"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In 1979, the PRC government began to promulgate a comprehensive system of laws, rules and regulations governing economic matters in general. The overall effect of legislation over the past four decades has significantly enhanced the protections afforded to various forms of foreign investment in the PRC. However, the PRC has not developed a fully integrated legal system, and recently enacted laws, rules and regulations may not sufficiently cover all aspects of economic activities in the PRC or may be subject to significant degrees of interpretation by PRC regulatory agencies. In particular, because these laws, rules and regulations are relatively new, and because of the limited number of published decisions and the nonbinding nature of such decisions, and because the PRC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6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Any administrative and court proceedings in the PRC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b w:val="1"/>
          <w:bCs w:val="1"/>
          <w:i w:val="1"/>
          <w:iCs w:val="1"/>
          <w:color w:val="auto"/>
        </w:rPr>
        <w:t>The PRC government may exert more control over offerings conducted overseas and/or foreign investment in mainland China- and Hong Kong-based issuers, may exercise significant oversight and discretion over a company’s ability to conduct business in mainland China and Hong Kong and may intervene in or influence our operations at any time, which could result in a material change in our operations and/or the value of the securities we are registering for sale.</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Although we have operations in many locations globally, we face various legal and operational risks and uncertainties as a result of being based in and having operations in mainland China and Hong Kong. We launched our GigaCloud Marketplace under our Hong Kong Subsidiary, GigaCloud Technology (HongKong) Limited (formerly known as Giga Cloud Logistics (Hong Kong) Limited), in 2019. Our PRC Subsidiaries perform cost functions and internal operational functions, but our PRC Subsidiaries do not generate revenue in mainland China. Accordingly, the laws and regulations of the PRC have an impact on the operational and procurement aspects of our business. Furthermore, the PRC government has authority to exert political and economic influence on the ability of a company with operations in mainland China and Hong Kong to conduct business, accept foreign investment or list on a U.S. or other foreign exchange. For example, we may face risks associated with regulatory approvals of offshore offerings, anti-monopoly regulatory actions, oversight on cybersecurity and data privacy, the lack of inspection of the PCAOB of our auditors, as well as regulatory risks relating to companies in Hong Kong. In light of recent statements and regulatory actions by the PRC government related to the PRC’s extension of authority into Hong Kong, there is also risk that the PRC government may intervene or influence our operations in Hong Kong, as our operations in Hong Kong are subject to political and economic influence from the PRC government. Our Hong Kong Subsidiary may be subject to direct intervention or influence from the PRC government in the future due to changes in laws or other unforeseeable reasons. Such risks could impact our ability to conduct our business, accept foreign investments, or list on a U.S. or other foreign exchange, result in a material change in our operations and/or the value of our Class A ordinary shares or could significantly limit or completely hinder our ability to offer or continue to offer Class A ordinary shares and/or other securities to investors and cause the value of the securities we are registering for sale to significantly decline or be worthless.</w:t>
      </w:r>
    </w:p>
    <w:p>
      <w:pPr>
        <w:spacing w:after="0" w:line="167"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Furthermore, the PRC government has recently indicated an intent to exert more oversight and control over overseas securities offerings and other capital markets activities by, and overseas and/or foreign investment in, companies with operations in mainland China and Hong Kong, including enhancing supervision over companies with operations in mainland China that are listed overseas using VIE structure, and that the PRC regulatory authorities could disallow the use of such VIE holding structure. We do not believe that we are directly subject to these regulatory actions or statements, as we do not currently have any VIE in mainland China. However, the rules and regulations and the enforcement thereof in China can change quickly. While our current corporate structure does not contain any VIE in mainland China and our group has no intention establishing any VIEs in mainland China in the future, if in the future our group’s corporate structure were to contain a VIE, the PRC regulatory authorities could disallow the VIE structure, which would likely result in a material change in our operations and/or a material change in the value of the securities we are registering for sale, including that it could cause the value of such securities to significantly decline or in extreme cases, become worthless. The PRC regulatory authorities could change the rules, regulations and policies regarding foreign ownership in the industry in which we operate, which would likely result in material change in our operations and/or a material change in the value of the securities we are registering for sale, including that it could cause the value of the securities to significantly decline, or become worthless. The PRC government may also intervene with or influence our operations in mainland China and Hong Kong as the government deems appropriate to further regulatory, political and societal goals. Any such action, once taken by the PRC government, could result in a material change in our operations, significantly limit or completely hinder our ability to offer or continue to offer securities to investors and cause the value of the securities we are registering for sale to significantly decline or in extreme cases, become worthless.</w:t>
      </w:r>
    </w:p>
    <w:p>
      <w:pPr>
        <w:spacing w:after="0" w:line="167"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For example, the General Office of the Central Committee of the Communist Party of China and the General Office of the State Council jointly issued the Opinions on Strictly Cracking Down on Illegal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Arial" w:cs="Arial" w:eastAsia="Arial" w:hAnsi="Arial"/>
          <w:sz w:val="16"/>
          <w:szCs w:val="16"/>
          <w:color w:val="auto"/>
        </w:rPr>
        <w:t>Activities which was made available to the public on July 6, 2021. The Opinions on Strictly Cracking Down on Illegal Securities Activities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overseas listing companies based in China, and cybersecurity and data privacy protection requirements and similar matters. On July 10, 2021, the CAC issued a revised draft of the Measures for Cybersecurity Review for public comments, which required that, in addition to “operator of critical information infrastructure,” any “data processor” carrying out data processing activities that affect or may affect national security should also be subject to cybersecurity review, and further elaborated the factors to be considered when assessing the national security risks of the relevant activities. According to the revised draft Measures for Cybersecurity Review, any data processor who possesses of personal information of more than one million users must apply for a cybersecurity review if it seeks a listing in a foreign country. On December 28, 2021, the Measures for Cybersecurity Review (2021 Version) were promulgated, which has become effective on February 15, 2022 and simultaneously replaced the Measures for Cybersecurity Review (2020 Version) in whole. The Measures for Cybersecurity Review (2021 Version) further iterated that any “network platform operators” carrying out data processing activities that affect or may affect national security should be subject to cybersecurity review and any network platform operator possessing personal information of more than one million users which seeks to list in a foreign stock exchange should also be subject to cybersecurity review. On November 14, 2021, the CAC published the Regulations on Network Data Security Protection (Draft for Comments) for public comments, which reiterated that data processors that process personal information of more than one million users listing in a foreign country should apply for a cybersecurity review. On December 24, 2021, the CSRC released the Draft Overseas Listing Rules, according to which, any direct or indirect offshore listing of domestic enterprises shall be filed with the CSRC. If the Draft Overseas Listing Rules were enacted, we may be subject to additional compliance requirements in the future. See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 and “Risk Factors—Risks Related to Doing Business in China—The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 completely hinder our ability to offer or continue to offer our ordinary shares to investors and could cause the value of our ordinary shares to significantly decline or become worthless.” Given that the Measures for Cybersecurity Review (2021 Version) were newly adopted, and the Regulations on Network Data Security Protection (Draft for Comments) and the Draft Overseas Listing Rules have not been adopted, it remains unclear how the Opinions on Strictly Cracking Down on Illegal Securities Activities will be interpreted, amended and implemented by the relevant PRC governmental authorities, it is still uncertain how PRC governmental authorities will regulate overseas listing in general and whether we are required to obtain any specific regulatory approvals or to fulfill any record-filing requirements. If we, including our PRC Subsidiaries and Hong Kong Subsidiary,</w:t>
      </w:r>
    </w:p>
    <w:p>
      <w:pPr>
        <w:spacing w:after="0" w:line="9"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 not receive or maintain any required approvals or record-filing or (ii) inadvertently conclude that approvals or record-filing are not required, or</w:t>
      </w:r>
    </w:p>
    <w:p>
      <w:pPr>
        <w:spacing w:after="0" w:line="32" w:lineRule="exact"/>
        <w:rPr>
          <w:rFonts w:ascii="Arial" w:cs="Arial" w:eastAsia="Arial" w:hAnsi="Arial"/>
          <w:sz w:val="16"/>
          <w:szCs w:val="16"/>
          <w:color w:val="auto"/>
        </w:rPr>
      </w:pPr>
    </w:p>
    <w:p>
      <w:pPr>
        <w:ind w:left="120" w:right="40" w:hanging="4"/>
        <w:spacing w:after="0" w:line="253" w:lineRule="auto"/>
        <w:tabs>
          <w:tab w:leader="none" w:pos="4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CAC, the CSRC or other regulatory agencies promulgate new rules, explanations or interpretations requiring that we shall obtain their prior approvals or ex-post record-filing for this offering and any follow-on offering in the future, we may be unable to obtain such approvals and record-filing timely, or at all, which could significantly limit or completely hinder our ability to offer or continue to offer our ordinary shares to investors and could cause the value of our ordinary shares to significantly decline or become worthless.</w:t>
      </w:r>
    </w:p>
    <w:p>
      <w:pPr>
        <w:spacing w:after="0" w:line="193"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rules and regulations and the enforcement thereof in China can change quickly. The PRC government may intervene with or influence our operations in mainland China and Hong Kong as the government deems appropriate to further regulatory, political and societal goals. Any such action by the PRC government to exert more oversight and control over offerings that are conducted overseas and/or foreign investment in mainland China- and Hong Kong-based issuers, once taken by the PRC government, could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significantly limit or completely hinder our ability to offer or continue to offer securities to investors and cause the value of our securities to significantly decline or in extreme cases, become worthless.</w:t>
      </w:r>
    </w:p>
    <w:p>
      <w:pPr>
        <w:spacing w:after="0" w:line="170" w:lineRule="exact"/>
        <w:rPr>
          <w:sz w:val="20"/>
          <w:szCs w:val="20"/>
          <w:color w:val="auto"/>
        </w:rPr>
      </w:pPr>
    </w:p>
    <w:p>
      <w:pPr>
        <w:ind w:left="120" w:right="140"/>
        <w:spacing w:after="0" w:line="381" w:lineRule="auto"/>
        <w:rPr>
          <w:sz w:val="20"/>
          <w:szCs w:val="20"/>
          <w:color w:val="auto"/>
        </w:rPr>
      </w:pPr>
      <w:r>
        <w:rPr>
          <w:rFonts w:ascii="Arial" w:cs="Arial" w:eastAsia="Arial" w:hAnsi="Arial"/>
          <w:sz w:val="15"/>
          <w:szCs w:val="15"/>
          <w:b w:val="1"/>
          <w:bCs w:val="1"/>
          <w:i w:val="1"/>
          <w:iCs w:val="1"/>
          <w:color w:val="auto"/>
        </w:rPr>
        <w:t>We operate our GigaCloud Marketplace through our Hong Kong Subsidiary. If the PRC government were to extend its oversight into companies in Hong Kong, our Hong Kong Subsidiary may be subject to additional regulations which could have a material effect on our business operations.</w:t>
      </w:r>
    </w:p>
    <w:p>
      <w:pPr>
        <w:spacing w:after="0" w:line="10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We launched our GigaCloud Marketplace under our Hong Kong Subsidiary, GigaCloud Technology (HongKong) Limited (formerly known as Giga Cloud Logistics (Hong Kong) Limited), in 2019. Our PRC Subsidiaries perform cost functions and internal operational functions, but our PRC Subsidiaries do not generate revenue in mainland China. Accordingly, the laws and regulations of the PRC have an impact on the operational and procurement aspects of our business. Pursuant to the Basic Law of the Hong Kong Special Administrative Region, or the Basic Law, which is a national law of the PRC and the constitutional document for Hong Kong, national laws of the PRC shall not be applied in Hong Kong except for those listed in Annex III of the Basic Law (which shall be confined to laws relating to defense and foreign affairs as well as other matters outside the autonomy of Hong Kong). Whilst the NPC of the PRC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PRC Data Security Law, The Measures for Cybersecurity Review (2021 Version) and the Regulations on Network Data Security Protection (Draft for Comments) do not apply to our businesses in Hong Kong.</w:t>
      </w:r>
    </w:p>
    <w:p>
      <w:pPr>
        <w:spacing w:after="0" w:line="185" w:lineRule="exact"/>
        <w:rPr>
          <w:sz w:val="20"/>
          <w:szCs w:val="20"/>
          <w:color w:val="auto"/>
        </w:rPr>
      </w:pPr>
    </w:p>
    <w:p>
      <w:pPr>
        <w:ind w:left="120" w:right="40" w:firstLine="881"/>
        <w:spacing w:after="0" w:line="267" w:lineRule="auto"/>
        <w:rPr>
          <w:sz w:val="20"/>
          <w:szCs w:val="20"/>
          <w:color w:val="auto"/>
        </w:rPr>
      </w:pPr>
      <w:r>
        <w:rPr>
          <w:rFonts w:ascii="Arial" w:cs="Arial" w:eastAsia="Arial" w:hAnsi="Arial"/>
          <w:sz w:val="17"/>
          <w:szCs w:val="17"/>
          <w:color w:val="auto"/>
        </w:rPr>
        <w:t>As of the date of this prospectus, our Hong Kong Subsidiary has not received any inquiry or notice or any objection from any PRC authority in connection with our operations in Hong Kong. In light of recent statements and regulatory actions by the PRC government related to the PRC’s extension of authority into Hong Kong, there is risk that the PRC government may intervene or influence our operations in Hong Kong, as our operations in Hong Kong are subject to political and economic influence from the PRC government. Our Hong Kong Subsidiary may be subject to such direct intervention or influence from the PRC government in the future due to changes in laws or other unforeseeable reasons. If certain PRC laws and regulations, including existing laws and regulations and those enacted or promulgated in the future, were to become applicable to our Hong Kong Subsidiary in the future, the application of such laws and regulations may have a material adverse impact on our business operations in Hong Kong. For example, if the PRC Data Security Law were to apply to our Hong Kong Subsidiary, our Hong Kong Subsidiary may be subject to data security and privacy obligations imposed by the PRC government, our Hong Kong Subsidiary may be required to obtain licenses for the operation of our ecommerce platform GigaCloud Marketplace and be subject to regulations restricting or prohibiting foreign ownership. However, the rules and regulations and the enforcement thereof in China can change quickly. In light of recent statements and regulatory actions by the PRC government related to the PRC’s extension of authority into Hong Kong, there is also risk that the PRC government may intervene with or influence our operations in mainland China and Hong Kong at any time as the government deems appropriate to further regulatory, political and societal goals and that our Hong Kong Subsidiary and PRC Subsidiaries may be subject to such direct intervention or influence in the future due to changes in laws or other unforeseeable reasons. Any such actions by the PRC government to exert more oversight and control over offerings that are conducted overseas and/or foreign investment in mainland China- and Hong Kong-based issuers could significantly change our Hong Kong Subsidiary’s ability to conduct its business and operate our GigaCloud Marketplace in its current form, which could result in a material change in our operations, significantly limit or completely hinder our ability to offer or continue to offer securities to investors and cause the value of the securities we are registering for sale to significantly decline or in the extreme cases, become worthless.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b w:val="1"/>
          <w:bCs w:val="1"/>
          <w:i w:val="1"/>
          <w:iCs w:val="1"/>
          <w:color w:val="auto"/>
        </w:rPr>
        <w:t>Implementation of the Law of the PRC on Safeguarding National Security in Hong Kong involves uncertainty, and the recent policy pronouncements by the PRC government regarding business activities of U.S.-listed PRC businesses may negatively impact GigaCloud Group’s existing and future operations in Hong Kong.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June 30, 2020, the Standing Committee of the NPC promulgated the Law of the PRC on Safeguarding National Security in Hong Kong.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interpretation of the Law of the PRC on Safeguarding National Security in Hong Kong involves a degree of uncertainty.</w:t>
      </w:r>
    </w:p>
    <w:p>
      <w:pPr>
        <w:spacing w:after="0" w:line="211"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Recently, the PRC government announced that it would step up supervision of overseas listed PRC businesses. Under the new measures, the PRC government will enhance regulation of cross-border data flows and security, crack down on illegal activity in the securities market and punish fraudulent securities issuance, market manipulation and insider trading. The PRC government will also check sources of funding for securities investment and control leverage ratios. The PRC government has also opened a probe into several U.S.-listed technology companies focusing on anti-monopoly, financial technology regulation and more recently, with the passage of the PRC Data Security Law, how companies collect, store, process and transfer personal data. Currently these laws (other than the Law of the PRC on Safeguarding National Security in Hong Kong) are expected to apply to mainland China domestic businesses, rather than businesses in Hong Kong which operate under a different set of laws from mainland China. However, there can be no assurance that the government of Hong Kong will not enact similar laws and regulations applicable to companies operating in Hong Kong.</w:t>
      </w:r>
    </w:p>
    <w:p>
      <w:pPr>
        <w:spacing w:after="0" w:line="196"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GigaCloud Group is a pioneer of global end-to-end B2B ecommerce solutions for large parcel merchandise and our global marketplace seamlessly connects manufacturers, primarily in Asia, with resellers, primarily in the U.S., Asia and Europe. We also operate warehouses in four countries across North America, Europe and Asia. Although none of our business activities appears to be within the current targeted areas of concern mentioned above by the PRC government, given the PRC government’s significant oversight over the conduct of business operations in mainland China and in Hong Kong, and in light of the PRC government’s recent extension of authority not only in mainland China but into Hong Kong, there are risks and uncertainties which we cannot foresee for the time being, and rules and regulations in the PRC can change quickly with little or no advance notice. For example, the PRC government may pressure the government of Hong Kong to enact similar laws and regulations to those in the PRC, which may seek to exert control over offerings conducted overseas by Hong Kong companies. If any or all of the foregoing were to occur, it could lead to a material adverse change in GigaCloud Group’s operations and limit or hinder our ability to offer securities to overseas investors or remain listed in the U.S., which could cause the value of the securities we are registering for sale to significantly decline or become worthless.</w:t>
      </w:r>
    </w:p>
    <w:p>
      <w:pPr>
        <w:spacing w:after="0" w:line="168" w:lineRule="exact"/>
        <w:rPr>
          <w:sz w:val="20"/>
          <w:szCs w:val="20"/>
          <w:color w:val="auto"/>
        </w:rPr>
      </w:pPr>
    </w:p>
    <w:p>
      <w:pPr>
        <w:ind w:left="120" w:right="380"/>
        <w:spacing w:after="0" w:line="301" w:lineRule="auto"/>
        <w:rPr>
          <w:sz w:val="20"/>
          <w:szCs w:val="20"/>
          <w:color w:val="auto"/>
        </w:rPr>
      </w:pPr>
      <w:r>
        <w:rPr>
          <w:rFonts w:ascii="Arial" w:cs="Arial" w:eastAsia="Arial" w:hAnsi="Arial"/>
          <w:sz w:val="16"/>
          <w:szCs w:val="16"/>
          <w:b w:val="1"/>
          <w:bCs w:val="1"/>
          <w:i w:val="1"/>
          <w:iCs w:val="1"/>
          <w:color w:val="auto"/>
        </w:rPr>
        <w:t>The approval or other administration requirements of the China Securities Regulatory Commission, or the CSRC, or other PRC governmental authorities, may be required in connection with this offering under a PRC regulation or any new laws, rules or regulations to be enacted, and if required, we cannot assure you that we will be able to obtain such approval. The regulation also establishes more complex procedures for acquisitions conducted by foreign investors that could make it more difficult for us to grow through acquisitions.</w:t>
      </w:r>
    </w:p>
    <w:p>
      <w:pPr>
        <w:spacing w:after="0" w:line="15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On August 8, 2006, six PRC regulatory agencies, including MOFCOM, the State-Owned Assets Supervision and Administration Commission, the SAT, the SAMR, the CSRC, and the SAFE, jointly adopted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believe, based on the advice of our PRC legal counsel, Han Kun Law Offices, based on its understanding of the current PRC laws and regulations, that the CSRC approval under the M&amp;A Rules is not required in the context of this offering because the CSRC currently has not issued any definitive rule or interpretation concerning whether offerings such as this offering contemplated by our company are subject to the M&amp;A Rules and our wholly owned PRC Subsidiary, GigaCloud Technology (Suzhou) Co., Ltd., was established by foreign direct investment, rather than through a merger or acquisition of a domestic company as defined under the M&amp;A Rules. However, we have also been advised by our PRC legal counsel that there are uncertainties regarding the interpretation and application of the PRC law, and there can be no assurance that the relevant PRC government agencies, including the CSRC, would reach the same conclusion as our PRC legal counsel. If the CSRC or any other PRC regulatory body subsequently determines that we need to obtain the CSRC’s approval or any other regulatory approval for this offering or if the CSRC or any other PRC government authorities promulgates any new laws, rules, regulations or any interpretation or implementation rules before our listing that would require us to obtain CSRC or other governmental approvals for this offering, we may face adverse actions or sanctions by the CSRC or other PRC regulatory agencies for failure to seek approval for this offering.</w:t>
      </w:r>
    </w:p>
    <w:p>
      <w:pPr>
        <w:spacing w:after="0" w:line="182"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In addition, the recently promulgated Opinions on Strictly Cracking Down on Illegal Securities Activities, among others, call for strengthening the administration and supervision of stocks with China nexus, revising the Special Provisions of the State Council on Overseas Issuance and Listing of Shares by Limited Stock Companies, and clarifying the responsibilities of domestic industry competent authorities and regulatory authorities. However, given the fairly recent issuance date of the Opinions on Strictly Cracking Down on Illegal Securities Activities, there are no further explanations, detailed rules or regulations issued as of the date of this prospectus, leaving uncertainties regarding the interpretation and implementation of the Opinions on Strictly Cracking Down on Illegal Securities Activities. Moreover, there is no assurance that any new rules or regulations promulgated in the future will not impose additional requirements on companies with operations in the PRC. Furthermore, on July 10, 2021, the CAC issued a revised draft of the Measures for Cybersecurity Review for public comments, according to which, in addition to “operator of critical information infrastructure,” any “data processor” carrying out data processing activities that affect or may affect national security should also be subject to cybersecurity review, and any data processor who possesses of personal information of more than one million users must apply for a cybersecurity review if it seeks a listing in a foreign country. On December 28, 2021, the Measures for Cybersecurity Review (2021 Version) were promulgated, which has become effective on February 15, 2022 and simultaneously replaced the Measures for Cybersecurity Review (2020 Version) in whole. The Measures for Cybersecurity Review (2021 Version) further iterated that any “network platform operators” carrying out data processing activities that affect or may affect national security should be subject to cybersecurity review and any network platform operator possessing personal information of more than one million users which seeks to list in a foreign stock exchange should also be subject to cybersecurity review. On November 14, 2021, the CAC published the Regulations on Network Data Security Protection (Draft for Comments) for public comments, which reiterated that data processors that process personal information of more than one million users listing in a foreign country should apply for a cybersecurity review.</w:t>
      </w:r>
    </w:p>
    <w:p>
      <w:pPr>
        <w:spacing w:after="0" w:line="174"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Due to the uncertainties in the interpretation of data processing activities that affect or may affect national security, in July 2021, we made an inquiry with the relevant local branch of the CAC regarding the interpretation of the revised draft Measures for Cybersecurity Review after the revised draft of the Measures for Cybersecurity Review was released, and in March 2022, after the Measures for Cybersecurity Review (2021 Version) came into effect, we made another inquiry with the CCRC regarding the interpretation of the Measures for Cybersecurity Review (2021 Version). Based on the descriptions regarding our business operations and our marketplace, the relevant local authority and the CCRC concurred with us that we are not required to go through a cybersecurity review with the CAC because (i) our GigaCloud Marketplace is operated in Hong Kong under our Hong Kong Subsidiary with under one million users, and (ii) our GigaCloud Marketplace is a B2B ecommerce platform and any data we collected on our sellers and buyers are limited without any personal information. Based on the foregoing and also the advice of our PRC legal counsel, Han Kun Law Offices, we believe we, including our PRC Subsidiaries and our Hong Kong Subsidiary, are currently not required to go through a cybersecurity review with the CAC as of the date hereof. As of the date of this prospectus, we have not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been involved in any investigations on cybersecurity or data security initiated by related governmental regulatory authorities, and we have not received any inquiry, notice, warning, or sanction in such respect. However, as the Measures for Cybersecurity Review (2021 Version) were newly adopted, and the Regulations on Network Data Security Protection (Draft for Comments) have not been adopted, there remains uncertainty in the interpretation and enforcement of such PRC cybersecurity laws and regulations. Thus, we cannot assure you that we would not be subject to cybersecurity review requirement, and if so, that we would be able to pass such review in relation to this offering. Furthermore, we cannot guarantee that the authority that we have inquired is the authorized regulatory body to make a determination that we are not subject to the requirement of cybersecurity review. If any interpretation or implementation rules of the relevant PRC cybersecurity laws and regulations in future provide that certain other PRC regulatory body shall be authorized to make the final decision on cybersecurity review, there can be no assurance that the authorized PRC regulatory body would reach the same conclusion as the authority we have inquired. If the authorized PRC regulatory body subsequently determines that we are required to go through such cybersecurity review or if any other PRC government authorities promulgates any interpretation or implementation rules before our listing that would require us to go through a cybersecurity review for this offering, we may fail to complete such cybersecurity review procedures in a timely manner, or at all.</w:t>
      </w:r>
    </w:p>
    <w:p>
      <w:pPr>
        <w:spacing w:after="0" w:line="179"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On December 24, 2021, the CSRC released the Draft Overseas Listing Rules, according to which, any direct or indirect offshore listing of domestic enterprises shall be filed with the CSRC. If the Draft Overseas Listing Rules were enacted, we may be subject to additional compliance requirements in the future. See “Risk Factors—Risks Related to Doing Business in China—The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 completely hinder our ability to offer or continue to offer our ordinary shares to investors and could cause the value of our ordinary shares to significantly decline or become worthless.”</w:t>
      </w:r>
    </w:p>
    <w:p>
      <w:pPr>
        <w:spacing w:after="0" w:line="17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As of the date of this prospectus, we have not received any inquiry or notice or any objection to this offering from the CSRC, the CAC or any other PRC authorities that have jurisdiction over our operations in mainland China and Hong Kong. However, given the current regulatory environment in the PRC, there remain uncertainty regarding the interpretation and enforcement of PRC laws, which can change quickly with little advance notice subject to any future actions of the PRC authorities.</w:t>
      </w:r>
    </w:p>
    <w:p>
      <w:pPr>
        <w:spacing w:after="0" w:line="18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It is uncertain what measures will be enacted, interpreted or implemented and how they will affect us. If it is determined that CSRC approval or other governmental approval or record-filing requirements are required for this offering, we, including our PRC Subsidiaries or our Hong Kong Subsidiary, may face penalties imposed by the CSRC or other PRC regulatory authorities for failing to seek regulatory approval and/or record-filing for this offering.</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any such event, these regulatory agencies may impose fines and penalties on our operations in the PRC, limit our operating privileges in the PRC, delay or restrict the repatriation of the proceeds from this offering into the PRC, if any, or take other actions that could have a material adverse effect on our business, financial condition, results of operations, reputation and prospects, as well as our ability to complete this offering. The CSRC or other PRC regulatory agencies may also take actions requiring us, or making it advisable for us, to halt this offering before settlement and delivery of the Class A ordinary shares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filings, registrations or other kinds of authorizations for this offering or any future capital raising, we cannot assure you that we can obtain such approvals, filings, registrations or authorizations or complete any required procedures in a timely manner, or at all, and we may be unable to obtain waivers of such approval, filing or other governmental requirements. Any uncertainties and/or negative publicity regarding such approval and/or filing requirements could have a material adverse effect on the trading price of our Class A ordinary shares.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These regulations also established additional procedures and requirements that are expected to make merger and acquisition activities in the PRC by foreign investors more time-consuming and complex. For example, the M&amp;A Rules require that the MOFCOM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The approval from the MOFCOM shall be obtained in circumstances where overseas companies legitimately established or controlled by PRC enterprises or residents acquire affiliated domestic companies. Mergers, acquisitions or contractual arrangements of domestic enterprises by foreign investors must also be notified in advance to the anti-monopoly authority under the PRC State Council when the threshold under the Provisions on Thresholds for Prior Notification of Concentrations of Undertakings issued by the PRC State Council in August 2008 and amended in September 2018, is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w:t>
      </w:r>
    </w:p>
    <w:p>
      <w:pPr>
        <w:spacing w:after="0" w:line="174"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NDRC and MOFCOM promulgated the Measures for the Security Review of Foreign Investments, effective from January 18, 2021, which require foreign investors or relevant domestic parties to file a prior report before making a foreign investment if such investment involves, among others, military related industry, national defense security or taking control of an enterprise in a key industry that concerns national security; and if a foreign investment will or may affect national security, the relevant party shall report to the standing working office organized by NDRC and MOFCOM for the decision of whether to conduct security review. Based on the advice of our PRC legal counsel, Han Kun Law Offices, based on its understanding of the current PRC laws and regulations, we believe that we, including our PRC Subsidiaries and our Hong Kong Subsidiary, are currently not subject to such record-filing requirements with the NDRC and MOFCOM under the Measures for the Security Review of Foreign Investment, because we, including our PRC Subsidiaries and our Hong Kong Subsidiary, do not and will not have foreign investments that involve military related industry, national defense security or taking control of an enterprise in a key industry that concerns national security. Complying with the requirements of the new regulations to complete such transactions could be time-consuming, and any required approval processes, including approval from the MOFCOM, may delay or inhibit our ability to complete such transactions, which could affect our ability to expand our business or maintain our market share.</w:t>
      </w:r>
    </w:p>
    <w:p>
      <w:pPr>
        <w:spacing w:after="0" w:line="17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 completely hinder our ability to offer or continue to offer our ordinary shares to investors and could cause the value of our ordinary shares to significantly decline or become worthless.</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December 24, 2021, the CSRC released the Draft Overseas Listing Rules which have a comment period that expired on January 23, 2022. The Draft Overseas Listing Rules have stipulated the determination criteria for direct and indirect overseas listing, the filing arrangement for both direct and indirect overseas listing, and the punishment for the breach of such newly promulgated filling requirements. As none of our PRC Subsidiaries is the issuer of the securities we are registering, listing and offering in this offering, our PRC Subsidiaries are not “directly” offering and listing securities on an overseas market.</w:t>
      </w:r>
    </w:p>
    <w:p>
      <w:pPr>
        <w:spacing w:after="0" w:line="18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Draft Overseas Listing Rules stipulate that the determination as to whether a domestic company is indirectly offering and listing securities in an overseas market shall be made on a substance-over-form basis and if an issuer meets the following conditions, its overseas offering and listing shall be determined as an “indirect overseas offering and listing by a domestic enterprise”: (i) the operating revenue, total profits, total assets or net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assets of the domestic enterprise in the most recent accounting year account for more than 50% of the corresponding figure in the issuer’s audited consolidated financial statements for the same period; (ii) most of the senior managers in charge of business operation and management are Chinese citizens or have habitual residences in mainland China, the principal operation premises are located in mainland China or the operation activities are mostly conducted in mainland China. According to the Draft Overseas Listing Rules, in the case of an “indirect overseas offering and listing by a domestic enterprise,” the issuer shall fulfill the filing procedures within three working days after the issuer makes an application for initial public offering and listing in an overseas market. The required filing materials for an initial public offering and listing should include at least the followings: the record-filing report and related undertakings; the regulatory opinions, record-filing, approval and other documents issued by competent regulatory authorities of relevant industries (if applicable); the security assessment opinion issued by relevant regulatory authorities (if applicable); the PRC legal opinion; and the prospectus.</w:t>
      </w:r>
    </w:p>
    <w:p>
      <w:pPr>
        <w:spacing w:after="0" w:line="18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addition, an overseas offering and listing is prohibited under any of the following circumstances: (i) if the intended securities offering and listing is specifically prohibited by PRC laws and regulations and relevant provisions; (ii) if the intended securities offering and listing may constitute a threat to or endangers national security as reviewed and determined by competent authorities under the State Council in accordance with laws; (iii) if there are material ownership disputes over the equity, principal assets, and core technology, etc. of the issuer; (iv) if, in the past three years, the domestic enterprise, its controlling shareholders or its actual controllers have committed corruption, bribery, embezzlement, misappropriation of property, or other criminal offenses disruptive to the order of the socialist market economy, or are currently under judicial investigation for suspicion of criminal offenses, or are under investigation for suspicion of major violations; (v) if, in the past three years, directors, supervisors, or senior executives have been subject to administrative punishments for severe violations, or are currently under judicial investigation for suspicion of criminal offenses, or are under investigation for suspicion of material violations of laws and regulations; and (vi) other circumstances as prescribed by the State Council. The Draft Overseas Listing Rules defined the legal liabilities for the failure in fulfilling filing obligations, imposing a fine between RMB 1 million and RMB 10 million, and in cases of severe violations, a parallel order to suspend relevant business or halt operation for rectification, revoke relevant business permits or business license.</w:t>
      </w:r>
    </w:p>
    <w:p>
      <w:pPr>
        <w:spacing w:after="0" w:line="179"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According to the CSRC Answers, after the Draft Overseas Listing Rules are implemented upon completion of public consultation and due legislative procedures, the CSRC will formulate and issue guidance for filing procedures to further specify the details of filing administration and ensure that market entities could refer to clear guidelines for filing, which means it still takes time for the Draft Overseas Listing Rules come into effect.</w:t>
      </w:r>
    </w:p>
    <w:p>
      <w:pPr>
        <w:spacing w:after="0" w:line="14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As advised by our PRC legal counsel, based on its understanding of the Draft Overseas Listing Rules and the confirmation by us that (i) none of the operating revenue, total profits, total assets and net assets of our PRC Subsidiaries in the most recent accounting year accounted for more than 50% of the corresponding figure in our audited consolidated financial statements for the same period; and (ii) most of the senior managers in charge of business operation and management are not Chinese citizens or do not have habitual residences in mainland China (only one of the three executive officers is a PRC citizen and none of three executive officers have residence located in mainland China), the principal operation premises are not located in mainland China and the operation activities are not mostly conducted in mainland China as our PRC Subsidiaries perform cost functions and internal operational functions, our PRC Subsidiaries do not generate revenue in mainland China, and all of our warehouses were located outside of the PRC, we believe that we, including our PRC Subsidiaries and our Hong Kong Subsidiary, will not be required to make a filing with the CSRC for this offering and listing under the Draft Overseas Listing Rules, if the Draft Overseas Listing Rules have been enacted before the completion of this offering and listing as they are currently released for comments. However, as the Draft Overseas Listing Rules have not been adopted, there remains uncertainty in the final form of and the enforcement of such overseas listing rules, and there can be no assurance that the relevant PRC governmental authorities, including the CSRC, would reach the same conclusion as us or our PRC legal counsel, or that the CSRC or any other PRC</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governmental authorities would not promulgate new rules or new interpretation of current rules to require us to obtain CSRC or other PRC governmental approvals for this offering. Furthermore, according to CSRC Answers, new initial public offerings and refinancing by existent overseas listed Chinese companies will firstly be required to go through the filing process; other existent overseas listed companies will be allowed sufficient transition period to complete their filing procedure, which means if we complete this offering prior to the effectiveness of the Draft Overseas Listing Rules, we may still be required to complete the filing process in the future, or be subject to additional compliance requirements in the future. If the final form of the Draft Overseas Listing Rules is enacted before the completion of this offering and the CSRC requires that we complete the filing procedure, the offering will be delayed until we have completed the CSRC filing procedure, which may take several months or longer. There is also the possibility that we may not be able to complete or maintain such filing or that we inadvertently concluded that such filing was not required. If CSRC filing was required as a prerequisite for this offering while we inadvertently concluded that such filing was not required or if applicable laws and regulations or the interpretation of such were modified to require us to obtain the CSRC filing in the future, we may face regulatory actions or other sanctions from the CSRC or other PRC regulatory authorities. Furthermore, if certain PRC laws and regulations, including existing laws and regulations and those enacted or promulgated in the future (such as the Draft Overseas Listing Rules), were to become applicable to our Hong Kong Subsidiary in the future, the application of such laws and regulations may have a material adverse impact on our business operations in Hong Kong. These authorities may impose fines and penalties upon our operations in mainland China and Hong Kong, delay or restrict the repatriation of the proceeds from this offering into mainland China and Hong Kong, and any failure of us to fully comply with such new regulatory requirements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The CSRC or other PRC regulatory agencies may also take actions requiring us, or making it advisable for us, to terminate this offering prior to the closing.</w:t>
      </w:r>
    </w:p>
    <w:p>
      <w:pPr>
        <w:spacing w:after="0" w:line="3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be treated as a resident enterprise for PRC tax purposes under the PRC Enterprise Income Tax Law, and we may therefore be subject to PRC income tax on our global income.</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Under the PRC Enterprise Income Tax Law and its implementing rules, enterprises established under the laws of jurisdictions outside of the PRC with “de facto management bodies” located in the PRC may be considered PRC tax resident enterprises for tax purposes and may be subject to the PRC enterprise income tax at the rate of 25% on their global income. “De facto management body” refers to a managing body that exercises substantial and overall management and control over the production and operations, personnel, accounting and assets of an enterprise. The SAT issued the Notice Regarding the Determination of Chinese-Controlled Offshore-Incorporated Enterprises as PRC Tax Resident Enterprises on the Basis of De Facto Management Bodies, or Circular 82, on April 22, 2009, which was most recently amended on December 29, 2017. Circular 82 provides certain specific criteria for determining whether the “de facto management body” of a Chinese-controlled offshore-incorporated enterprise is located in the PRC. Further to Circular 82, on July 27, 2011, SAT issued the Administrative Measures for Enterprise Income Tax of Chinese-Controlled Offshore-Incorporated Resident Enterprises (Trial Version), or Bulletin 45, which became effective on September 1, 2011 and most recently revised and effective on June 15, 2018, to provide more guidance on the implementation of Circular 82. Bulletin 45 clarified certain issues in the areas of resident status determination, post-determination administration and competent tax authorities’ procedures. See “Regulations—Regulatory Overview of the PRC—Laws and Regulations Relating to Taxation—Enterprise Income Tax.” Although Circular 82 and Bulletin 45 only apply to offshore enterprises controlled by PRC enterprises or PRC enterprise groups, not those controlled by foreign enterprises or individuals, the determining criteria set forth in Circular 82 and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 If we were to be considered a PRC resident enterprise by the PRC tax authorities for PRC tax purpose, we would be subject to PRC enterprise income tax at the rate of 25% on our global income. In such case, our cash flow may be materially reduced as a result of our global income being</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taxed under the Enterprise Income Tax Law. We believe that none of our entities outside of the PRC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Dividends paid to our foreign investors and gains on the sale of our Class A ordinary shares by our foreign investors may become subject to PRC tax.</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If we are deemed a PRC resident enterprise under the Enterprise Income Tax Law, a number of unfavorable PRC tax consequences could follow. Under the Enterprise Income Tax Law and its implementation regulations issued by the PRC State Council, a 10% PRC withholding tax is applicable to dividends paid to investors that are non-resident enterprises, which do not have an establishment or place of business in mainland China or which have such establishment or place of business but the dividends are not effectively connected with such establishment or place of business, to the extent such dividends are derived from sources within the PRC. Any gain realized on the transfer of our Class A ordinary shares by such investors is also subject to PRC tax at a current rate of 10%, if such gain is regarded as income derived from sources within the PRC. If we are deemed a PRC resident enterprise, dividends paid on our ordinary shares, and any gain realized from the transfer of our Class A ordinary shares, would be treated as income derived from sources within the PRC and would as a result be subject to PRC taxation. Furthermore, if we are deemed a PRC resident enterprise, dividends paid to individual investors who are non-PRC residents and any gain realized on the transfer of our Class A ordinary shares by such investors may be subject to PRC tax (which in the case of dividends may be withheld at source) at a rate of 20%. Any PRC tax liability may be subject to reduction or exemption set forth in applicable tax treaties or under applicable tax arrangements between jurisdictions. However, if we or any of our subsidiaries established outside the PRC are considered a PRC resident enterprise, it is unclear whether holders of our Class A ordinary shares would be able to claim the benefit of income tax treaties or agreements entered into between the PRC and other countries or areas. If dividends paid to our non-PRC investors, or gains from the transfer of our Class A ordinary shares by such investors, are deemed as income derived from sources within the PRC and thus are subject to PRC tax, the value of your investment in our Class A ordinary shares may decline significantly.</w:t>
      </w:r>
    </w:p>
    <w:p>
      <w:pPr>
        <w:spacing w:after="0" w:line="16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and our shareholders face uncertainties with respect to indirect transfers of equity interests in PRC resident enterprises or other assets attributed to a PRC establishment of a non-PRC company, or immovable properties located in the PRC owned by non-PRC companies.</w:t>
      </w:r>
    </w:p>
    <w:p>
      <w:pPr>
        <w:spacing w:after="0" w:line="12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 February 3, 2015, the SAT issued the Bulletin on Issues of Enterprise Income Tax on Indirect Transfers of Assets by Non-PRC Resident Enterprises, or SAT Bulletin 7. In December 2017, Article 13 and Paragraph 2 of Article 8 of SAT Bulletin 7 were abolished. Pursuant to this SAT Bulletin 7 (as amended), an “indirect transfer” of assets, including non-publicly traded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the PRC, immovable properties located in the PRC,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without limitation: whether the main value of the equity interest of the relevant offshore enterprise derives from PRC taxable assets; whether the assets of the relevant offshore enterprise mainly consists of direct or indirect investment in the PRC or if its income mainly derives from the PRC; whether the offshore enterprise and its subsidiaries directly or indirectly holding PRC taxable assets have real commercial nature which is evidenced by their actual function and risk exposure; the duration of existence of the overseas shareholder, the business model and organizational structure; information about the payment of due income tax outside PRC on indirect transfer of PRC taxable assets; the replicability of the transaction by direct transfer of PRC taxable assets; and the tax</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the PRC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SAT Bulletin 7 does not apply to transactions of sale of shares by investors through a public stock exchange where such shares were acquired from a transaction through a public stock exchange. On October 17, 2017, the SAT promulgated Announcement of the SAT on Issues Concerning the Withholding of Non-resident Enterprise Income Tax at Source, or SAT Circular 37, which became effective on December 1, 2017 and was most recently amended on June 15, 2018. SAT Circular 37, among other things, simplified procedures of withholding and payment of income tax levied on non-resident enterprises.</w:t>
      </w:r>
    </w:p>
    <w:p>
      <w:pPr>
        <w:spacing w:after="0" w:line="16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SAT Bulletin 7 and SAT Circular 37. For transfer of shares in our company by investors that are non-PRC resident enterprises, our PRC Subsidiaries may be requested to assist in the filing under SAT Bulletin 7 and SAT Circular 37. As a result, we may be required to expend valuable resources to comply with SAT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spacing w:after="0" w:line="17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PRC regulation of loans to, and direct investments in, PRC entities by offshore holding companies and governmental control of currency conversion may restrict or prevent us from using the proceeds of this offering to make loans or additional capital contributions to our PRC Subsidiaries, which could materially and adversely affect our liquidity and our ability to fund and expand our business.</w:t>
      </w:r>
    </w:p>
    <w:p>
      <w:pPr>
        <w:spacing w:after="0" w:line="14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utilizing the proceeds of this offering, we, as an offshore holding company, are permitted under PRC laws and regulations to provide funding to our PRC Subsidiaries, which are treated as “foreign-invested enterprises” under PRC laws, through loans or capital contributions. However, loans by us to our PRC Subsidiaries to finance their activities cannot exceed statutory limits and must be registered with the local counterpart of SAFE and capital contributions to our PRC Subsidiaries are subject to the requirement of making necessary registration with competent governmental authorities in the PRC.</w:t>
      </w:r>
    </w:p>
    <w:p>
      <w:pPr>
        <w:spacing w:after="0" w:line="18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SAFE promulgated the Notice of the SAFE on Reforming the Administration of Foreign Exchange Settlement of Capital of Foreign-invested Enterprises, or Circular 19, effective on June 1, 2015. According to Circular 19, the flow and use of the RMB capital converted from foreign currency-denominated registered capital of a foreign-invested company is regulated such that RMB capital may not be used, whether directly or indirectly, for the issuance of RMB entrusted loans, the repayment of inter-enterprise loans (including third-party advance) or the repayment of banks loans that have been transferred to a third party. Although Circular 19 allows RMB capital converted from foreign currency-denominated registered capital of a foreign-invested enterprise to be used for equity investments within the PRC,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SAFE on Reforming and Regulating the Foreign Exchange Settlement Management Policy of Capital Account, or Circular 16, effective on June 9, 2016, which reiterates some of the rules set forth in Circular 19, but changes the prohibition against using RMB capital converted from foreign currency-denominated registered capital of a foreign-invested company to</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issue RMB entrusted loans to a prohibition against using such capital to issue loans to non-associated enterprises. Violations of Circular 19 and Circular 16 could result in administrative penalties. Circular 19 and Circular 16 may significantly limit our ability to transfer any foreign currency we hold, including the net proceeds from this offering, to our PRC Subsidiaries, which may adversely affect our liquidity and our ability to fund and expand our business in the PRC.</w:t>
      </w:r>
    </w:p>
    <w:p>
      <w:pPr>
        <w:spacing w:after="0" w:line="187"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On October 23, 2019, the SAFE promulgated the Notice of the SAFE on Further Promoting the Convenience of Cross-border Trade and Investment, or the SAFE Circular 28, which permits non-investment foreign-invested enterprises to use their capital funds to make equity investments in the PRC, with genuine investment projects and in compliance with effective foreign investment restrictions and other applicable laws. However, as the SAFE Circular 28 was issued recently, there are still substantial uncertainties as to its interpretation and implementations in practice.</w:t>
      </w:r>
    </w:p>
    <w:p>
      <w:pPr>
        <w:spacing w:after="0" w:line="15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light of the various requirements imposed by PRC regulations on loans to, and direct investments in, PRC entities by offshore holding companies, we cannot assure you that we will be able to complete the necessary government registrations or obtain the necessary government approvals on a timely basis, if at all, with respect to future loans or future capital contributions by us to our PRC Subsidiaries. As a result, uncertainties exist as to our ability to provide prompt financial support to our PRC Subsidiaries when needed. If we fail to complete such registrations or obtain such approvals, our ability to use foreign currency, including the proceeds we received from this offering, and to capitalize or otherwise fund our PRC operations may be negatively affected, which could materially and adversely affect our liquidity and our ability to fund and expand our business.</w:t>
      </w:r>
    </w:p>
    <w:p>
      <w:pPr>
        <w:spacing w:after="0" w:line="16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share incentive plans may subject our equity incentive plan participants or us to fines and other legal or administrative sanctions.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On February 15, 2012, SAFE promulgated the Notices of the SAFE on Issues Relating to the Foreign Exchange Administration for Domestic Individuals Participating in Stock Incentive Plan of Overseas Publicly Listed Company, replacing earlier rules promulgated in 2007. Pursuant to these rules, PRC citizens and non-PRC citizens who reside in mainland China for a continuous period of not less than one year and participate in any share incentive plan of an overseas publicly listed company are required to register with the SAFE through a domestic qualified agent, which could be the PRC subsidiaries of such overseas-listed company, and complete certain other procedures, unless certain exceptions are available. In addition, an overseas-entrusted institution must be retained to handle matters in connection with the exercise or sale of share options and the purchase or sale of shares and interests. We and our executive officers and other employees who are PRC citizens or non-PRC citizens living in mainland China for a continuous period of not less than one year and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may also limit our ability to contribute additional capital into our PRC Subsidiaries and our PRC Subsidiaries’ ability to distribute dividends to us. We also face regulatory uncertainties that could restrict our ability to adopt additional incentive plans for our directors, executive officers and employees under PRC law. See “Management—Share Incentive Plans.”</w:t>
      </w:r>
    </w:p>
    <w:p>
      <w:pPr>
        <w:spacing w:after="0" w:line="168"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In addition, the SAT has issued certain circulars concerning employee share options and restricted shares. Under these circulars, our employees working in mainland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for those employees who exercise their share options. If our employees fail to pay or we fail to withhold their income taxes according to relevant laws and regulations, we may face sanctions imposed by the tax authorities or other PRC government authorities. See “Management—Share Incentive Plans.”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24"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On July 4, 2014, SAFE promulgated the Notice on Issues Relating to Foreign Exchange Administration over the Overseas Investment and Financing and Round-trip Investment by Domestic Residents via Special Purpose Vehicles, or the SAFE Circular 37. The SAFE Circular 37 requires PRC residents (including PRC individuals and PRC corporate entities as well as foreign individuals that are deemed as PRC residents for foreign exchange administration purposes) to register with SAFE or its local branches in connection with their direct or indirect offshore investment activities. The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The SAFE Circular 37 is applicable to our shareholders or beneficial owners who are PRC residents and may be applicable to any offshore acquisitions that we make in the future. According to the Notice of the SAFE on Further Simplifying and Improving the Foreign Exchange Administration Policies for Direct Investment, promulgated by the SAFE on February 13, 2015 and effective on June 1, 2015, local banks will examine and handle foreign exchange registration for overseas direct investment, including the initial foreign exchange registration and amendment registration, under the SAFE Circular 37 from June 1, 2015.</w:t>
      </w:r>
    </w:p>
    <w:p>
      <w:pPr>
        <w:spacing w:after="0" w:line="179"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If our shareholders or beneficial owners who are PRC residents or entities do not complete their registration with the local SAFE branches or qualified local banks, our PRC Subsidiaries may be prohibited from distributing to us its profits and proceeds from any reduction in capital, share transfer or liquidation,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5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We may not be informed of the identities of all the PRC residents or entities holding direct or indirect interest in our company, nor can we compel our shareholders or beneficial owners to comply with SAFE registration requirements. We cannot assure you that all shareholders or beneficial owners of ours who are PRC residents or entities have complied with, and will in the future make, obtain or update any applicable registrations or approvals required by, SAFE regulations.</w:t>
      </w:r>
    </w:p>
    <w:p>
      <w:pPr>
        <w:spacing w:after="0" w:line="18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failure or inability of such shareholders or beneficial owners to comply with SAFE regulations, or failure by us to amend the foreign exchange registrations of our PRC Subsidiaries, could subject us or the non-complaint shareholders or beneficial owners to fines or legal sanctions, restrict our overseas or cross-border investment activities, limit our PRC Subsidiaries’ ability to make distributions or pay dividends to us or affect our ownership structure. As a result, our business operations and our ability to distribute any future profits to you could be materially and adversely affected.</w:t>
      </w:r>
    </w:p>
    <w:p>
      <w:pPr>
        <w:spacing w:after="0" w:line="15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utilize our revenues, transfer or distribute cash within our group effectively and affect the value of your investment.</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the remittance of currency out of mainland China. Under our current corporate structure, our Cayman Islands holding company may rely on dividend payments from our subsidiaries to fund any cash and financing requirements we may have. The ability of our subsidiaries to pay dividends to us may be restricted by the debt they incur on their own behalf or laws and regulations applicable to them. Our PRC Subsidiaries perform cost functions and internal operational functions and none of our PRC Subsidiaries have issued any dividends or distributions. Although we did not rely on our PRC Subsidiaries in dividends or other distributions on equity in the past, in the event that our PRC Subsidiaries were to issue dividends or distribution to us out of mainland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China in the future, our PRC Subsidiaries may be subject to the applicable foreign currency control. To date, there have not been any such dividends or other distributions from our PRC Subsidiaries to our subsidiaries located outside of mainland China. In addition, save as disclosed, as of the date of this prospectus, none of our subsidiaries have ever issued any dividends or distributions to us or their respective shareholders outside of mainland China. In the event that our PRC Subsidiaries were to issue dividends or distribution to us out of mainland China in the future, our PRC Subsidiaries may be subject to the applicable foreign currency control.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mainland China, if any, may be used to pay dividends to our company. However, approval from or registration or filing with appropriate government authorities is required where Renminbi is to be converted into foreign currency and remitted out of mainland China to pay capital expenses such as the repayment of loans denominated in foreign currencies. As a result, we need to obtain SAFE approval to use cash generated from the operations of our PRC Subsidiaries, if any, to pay off their respective debt in a currency other than Renminbi owed to entities outside mainland China, or to make other capital expenditure payments outside mainland China in a currency other than Renminbi. To the extent cash is generated in our PRC Subsidiaries, and may need to be used to fund operations outside of mainland China, such funds may not be available due to limitations placed by the PRC government. Furthermore, to the extent assets (other than cash) in our business are located in the PRC or held by a PRC entity, the assets may not be available to fund operations or for other use outside of the PRC due to interventions in or the imposition of restrictions and limitations on the ability of us and our subsidiaries to transfer assets by the PRC government. If certain PRC laws and regulations, including existing laws and regulations and those enacted or promulgated in the future were to become applicable to our Hong Kong Subsidiary in the future, and to the extent cash is generated in our Hong Kong Subsidiary, and to the extent assets (other than cash) in our business are located in Hong Kong or held by a Hong Kong entity and may need to be used to fund operations outside of Hong Kong, such funds or assets may not be available due to interventions in or the imposition of restrictions and limitations on the ability of us and our subsidiaries to transfer funds or assets by the PRC government. Furthermore, there can be no assurance that the PRC government will not intervene or impose restrictions or limitations on GigaCloud Group’s ability to transfer or distribute cash within its organization, which could result in an inability or prohibition on making transfers or distributions to entities outside of mainland China and Hong Kong and adversely affect its business. Saved as the foregoing limitations imposed by the PRC government as described hereto, there are currently no limitations on our or our subsidiaries’ ability to transfer cash to investors.</w:t>
      </w:r>
    </w:p>
    <w:p>
      <w:pPr>
        <w:spacing w:after="0" w:line="175" w:lineRule="exact"/>
        <w:rPr>
          <w:sz w:val="20"/>
          <w:szCs w:val="20"/>
          <w:color w:val="auto"/>
        </w:rPr>
      </w:pPr>
    </w:p>
    <w:p>
      <w:pPr>
        <w:ind w:left="120" w:right="220" w:firstLine="881"/>
        <w:spacing w:after="0" w:line="291" w:lineRule="auto"/>
        <w:rPr>
          <w:sz w:val="20"/>
          <w:szCs w:val="20"/>
          <w:color w:val="auto"/>
        </w:rPr>
      </w:pPr>
      <w:r>
        <w:rPr>
          <w:rFonts w:ascii="Arial" w:cs="Arial" w:eastAsia="Arial" w:hAnsi="Arial"/>
          <w:sz w:val="16"/>
          <w:szCs w:val="16"/>
          <w:color w:val="auto"/>
        </w:rPr>
        <w:t>In light of the flood of capital outflows of the PRC in 2016 due to the weakening Renminbi, the PRC government has imposed more restrictive foreign exchange policies and stepped-up scrutiny of major outbound capital movement including overseas direct investment. More restrictions and a substantial vetting process have been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Recent litigation and negative publicity surrounding companies listed in the U.S. with operations in the PRC may result in increased regulatory scrutiny of us and negatively impact the trading price of our Class A ordinary shares.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believe that litigation and negative publicity surrounding companies with operations in the PRC that are listed in the U.S. have negatively impacted stock prices for such companies. Various equity-based research organizations have published reports on companies with operations in the PRC after examining, among other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things, their corporate governance practices, related party transactions, sales practices and financial statements that have led to special investigations and stock suspensions on national exchanges. Due to our operations in the PRC, any similar scrutiny of us, regardless of its lack of merit, could result in a diversion of management resources and energy, potential costs to defend ourselves against rumors, decreases and volatility in the trading price of our Class A ordinary shares, and increased directors and officers insurance premiums, and could have a material adverse effect upon our business, results of operations and financial condition.</w:t>
      </w:r>
    </w:p>
    <w:p>
      <w:pPr>
        <w:spacing w:after="0" w:line="18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The enforcement of the PRC Labor Contract Law, and other labor-related regulations in the PRC may increase our labor costs and limit our flexibility to use labor. Our failure to comply with PRC labor-related laws may expose us to penalties.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On June 29, 2007, the Standing Committee of the NPC enacted the PRC Labor Contract Law, which became effective on January 1, 2008 and was amended on December 28, 2012. The PRC Labor Contract Law introduces specific provisions related to fixed-term employment contracts, part-time employment, probation, consultation with labor unions and employee assemblies, employment without a written contract, dismissal of employees, severance, and collective bargaining, which together represent enhanced enforcement of labor laws and regulations. According to the PRC Labor Contract Law, an employer is obliged to sign an unfixed-term labor contract with any employee who has worked for the employer for 10 consecutive years. Further, if an employee requests or agrees to renew a fixed-term labor contract that has already been entered into twice consecutively, the resulting contract must have an unfixed term, with certain exceptions. The employer must pay economic compensation to an employee where a labor contract is terminated or expires in accordance with the PRC Labor Contract Law, except for certain situations which are specifically regulated. As a result, our ability to terminate employees is significantly restricted. In addition, the government has issued various labor-related regulations to further protect the rights of employees. According to such laws and regulations, employees are entitled to annual leave ranging from five to 15 days and are able to be compensated for any untaken annual leave days in the amount of three times their daily salary, subject to certain exceptions. In the event that we decide to change our employment or labor practices, the PRC Labor Contract Law and its implementation rules may also limit our ability to effect those changes in a manner that we believe to be cost-effective. In addition, as the interpretation and implementation of these new regulations are still evolving, our employment practices may not be at all times deemed in compliance with the new regulations. If we are subject to severe penalties or incur significant liabilities in connection with labor disputes or investigations, our business and financial conditions may be adversely affected.</w:t>
      </w:r>
    </w:p>
    <w:p>
      <w:pPr>
        <w:spacing w:after="0" w:line="167"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Companies operating in the PRC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The requirement to maintain employee benefit plans has not been implemented consistently by local governments in the PRC given the different levels of economic development in different locations. We may not pay social security and housing fund contributions in strict compliance with the relevant PRC regulations for and on behalf of our employees due to differences in local regulations and inconsistent implementation or interpretation by local authorities in the PRC and varying levels of acceptance of the housing fund system by our employees. We may be subject to fines and penalties for any such failure to make payments in accordance with the applicable PRC laws and regulations. We may be required to make up the contributions for these plans as well as to pay late fees and fines. If we are subject to penalties, late fees or fines in relation to any underpaid employee benefits, our financial condition and results of operations may be adversely affected.</w:t>
      </w:r>
    </w:p>
    <w:p>
      <w:pPr>
        <w:spacing w:after="0" w:line="1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leasehold interests in leased properties have not been registered with the relevant PRC governmental authorities as required by relevant PRC laws. The failure to register leasehold interests may expose us to potential fines.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We have not registered any of our lease agreements with the relevant government authorities. Under the relevant PRC laws and regulations, we may be required to register and file with the relevant government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authority executed leases. The failure to register the lease agreements for our leased properties will not affect the validity of these lease agreements, but the competent housing authorities may order us to register the lease agreements in a prescribed period of time and impose a fine ranging from RMB1,000 to RMB10,000 for each non-registered lease if we fail to complete the registration within the prescribed timeframe.</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ability of U.S. authorities to bring actions for violations of U.S. securities law and regulations against us, our directors or executive officers may be limited. Therefore, you may not be afforded the same protection as provided to investors in the U.S. domestic companies.</w:t>
      </w:r>
    </w:p>
    <w:p>
      <w:pPr>
        <w:spacing w:after="0" w:line="12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SEC, the U.S. Department of Justice, or the DOJ, and other U.S. authorities often have substantial difficulties in bringing and enforcing actions against non-U.S. incorporated companies such as us, and non-U.S. persons, such as our directors and executive officers in mainland China and Hong Kong. Due to jurisdictional limitations, matters of comity and various other factors, the SEC, the DOJ and other U.S. authorities may be limited in their ability to pursue bad actors, including in instances of fraud, in emerging markets such as the PRC. Some of our directors and executive officers are located in mainland China and Hong Kong. There are significant legal and other obstacles for U.S. authorities to obtain information needed for investigations or litigation against us or our directors, executive officers or other gatekeepers in case we or any of these individuals engage in fraud or other wrongdoing. In addition, local authorities in the PRC may be constrained in their ability to assist U.S. authorities and overseas investors in connection with legal proceedings. As a result, if we, our directors, executive officers or other gatekeepers commit any securities law violation, fraud or other financial misconduct, the U.S. authorities may not be able to conduct effective investigations or bring and enforce actions against us, our directors, executive officers or other gatekeepers. Therefore, you may not be able to enjoy the same protection provided by various U.S. authorities as it is provided to investors in the U.S. domestic companies.</w:t>
      </w:r>
    </w:p>
    <w:p>
      <w:pPr>
        <w:spacing w:after="0" w:line="18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original actions in the PRC, based on U.S. or other foreign laws, against us, our directors or executive officers. Therefore, you may not be able to enjoy the protection of such laws in an effective manner.</w:t>
      </w:r>
    </w:p>
    <w:p>
      <w:pPr>
        <w:spacing w:after="0" w:line="184"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We are a company incorporated under the laws of the Cayman Islands and some of our directors and executive officers are located in the PRC. As a result, it may not be possible to effect service of process within the U.S. or elsewhere outside the PRC upon us, our directors and executive officers, including with respect to matters arising under U.S. federal securities laws or applicable state securities laws. Even if you obtain a judgment against us, our directors or executive officers in a U.S. court or other court outside the PRC, you may not be able to enforce such judgment against us or them in the PRC. The PRC does not have treaties providing for the reciprocal recognition and enforcement of judgments of courts in the U.S., the U.K., Japan or most other western countries. Therefore, recognition and enforcement in the PRC of judgments of a court in any of these jurisdictions may be difficult or impossible. In addition, you may not be able to bring original actions in the PRC based on the U.S. or other foreign laws against us, our directors or executive officers. As a result, shareholder claims that are common in the U.S., including class actions based on securities law and fraud claims, are difficult or impossible to pursue as a matter of law and practicality in the PRC.</w:t>
      </w:r>
    </w:p>
    <w:p>
      <w:pPr>
        <w:spacing w:after="0" w:line="166"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For example, in the PRC, there are significant legal and other obstacles to obtaining information needed for shareholder investigations or litigation outside the PRC or otherwise with respect to foreign entities. Although the local authorities in the PRC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While detailed interpretation of or implementation rules under Article 177 of the PRC Securities Law is not yet available,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inability for an overseas securities regulator to directly conduct investigation or evidence collection activities within the PRC may further increase difficulties faced by investors in protecting your interests. Therefore, you may not be able to effectively enjoy the protection offered by the U.S. laws and regulations that are intended to protect public investors.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Additional remedial measures could be imposed on certain PRC-based accounting firms, including our independent registered public accounting firm, in administrative proceedings instituted by the SEC, as a result of which our consolidated financial statements may be determined to not be in compliance with the requirements of the Exchange Act, if at all.</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In December 2012, the SEC brought administrative proceedings against the PRC-based “big four” accounting firms, including our independent registered public accounting firm, alleging that they had violated U.S. securities laws by failing to provide audit work papers and other documents related to certain other PRC-based companies under investigation by the SEC. On January 22, 2014, an initial administrative law decision was issued, censuring and suspending these accounting firms from practicing before the SEC for a period of six months. The decision was neither final nor legally effective until reviewed and approved by the SEC. In February 2015, each of the four PRC-based accounting firms agreed to a censure and to pay a fine to the SEC to settle the dispute and avoid suspension of their ability to practice before the SEC and to audit U.S.-listed companies. The settlement required the firms to follow detailed procedures to seek to provide the SEC with access to such firms’ audit documents via the CSRC. If the firms did not follow these procedures or if there is a failure in the process between the SEC and the CSRC, the SEC could impose penalties such as suspensions, or it could restart the administrative proceedings. Under the terms of the settlement, the underlying proceeding against the four PRC-based accounting firms was deemed dismissed with prejudice four years after entry of the settlement. The four-year mark occurred on February 6, 2019. While we cannot predict if the SEC will further challenge the four PRC-based accounting firms’ compliance with U.S. law in connection with U.S. regulatory requests for audit work papers or if the results of such challenge would result in the SEC imposing penalties such as suspensions, if the accounting firms are subject to additional remedial measures, our ability to file our consolidated financial statements in compliance with SEC requirements could be impacted. A determination that we have not timely filed consolidated financial statements in compliance with SEC requirements could ultimately lead to our delisting from the Nasdaq Global Market or deregistration from the SEC, or both, which would substantially reduce or effectively terminate the trading of our Class A ordinary shares in the U.S.</w:t>
      </w:r>
    </w:p>
    <w:p>
      <w:pPr>
        <w:spacing w:after="0" w:line="395"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the event that the PRC-based “big four” accounting firms become subject to additional legal challenges by the SEC or the PCAOB depending upon the final outcome, listed companies in the U.S.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U.S.-listed companies with operations in the PRC and the market price of our Class A ordinary shares may be adversely affected.</w:t>
      </w:r>
    </w:p>
    <w:p>
      <w:pPr>
        <w:spacing w:after="0" w:line="192"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If our independent registered public accounting firm were denied, even temporarily, the ability to practice before the SEC and we were unable to timely find another registered public accounting firm to audit and issue an opinion on our consolidated financial statements, our consolidated financial statements could be determined not to be in compliance with the requirements of the Exchange Act. Such a determination could ultimately lead to the delay or abandonment of this offering, delisting of our Class A ordinary shares from the Nasdaq Global Market or deregistration from the SEC, or both, which would substantially reduce or effectively terminate the trading of our Class A ordinary shares in the U.S.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Class A Ordinary Shares and this Offering</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Class A ordinary shares may not develop, and you may not be able to resell the shares at or above the public offering price.</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Prior to this offering, there has been no public market for our ordinary shares. Although our Class A ordinary shares offered in this offering have been approved for listing on the Nasdaq, an active trading market for our Class A ordinary shares may never develop or be sustained following this offering. We and the underwriter have determined the initial public offering price of our Class A ordinary shares through negotiation. This price does not necessarily reflect the price at which investors in the market will be willing to buy and sell our Class A ordinary shares following this offering. In addition, an active trading market for our Class A ordinary shares may not develop following the consummation of this offering or, if it does develop, may not be sustained. The lack of an active market may impair your ability to sell the shares at the time you wish to sell them or at a price that you consider reasonable. An inactive market may also impair our ability to raise capital by selling our Class A ordinary shares and may impair our ability to acquire other businesses or technologies using our Class A ordinary shares as consideration, which, in turn, could materially adversely affect our business, financial condition and results of operations.</w:t>
      </w:r>
    </w:p>
    <w:p>
      <w:pPr>
        <w:spacing w:after="0" w:line="18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ordinary shares could be highly volatile, and purchasers of our Class A ordinary shares could incur substantial losses.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trading price of our Class A ordinary shares is likely to be volatile. The stock market in general and the market for shares of ecommerce solutions companies in particular have experienced extreme volatility that has often been unrelated to the operating performance of particular companies. As a result of this volatility, investors may not be able to sell our Class A ordinary shares at or above the initial public offering price. The market price for our Class A ordinary shares may be influenced by those factors discussed in this “Risk Factors” section and many others, including:</w:t>
      </w:r>
    </w:p>
    <w:p>
      <w:pPr>
        <w:spacing w:after="0" w:line="184"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U.S., the PRC and foreign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innovations or new products or solution offerings developed by us or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or distribution delays or shortages;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changes to our relationship with any third-party ecommerce platforms, sellers and buyers or other strategic partners;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large parcel merchandise and ecommerce solutions market and issuance of securities analysts’ reports or recommendations;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Class A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securities by insiders and shareholders;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our control;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ongoing and future impact of the COVID-19 pandemic and actions taken to slow its spread;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25"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In addition, in the past, shareholders of public companies have initiated class action lawsuits against those companies following periods of volatility in the market prices of these companies’ shares. Such litigation, if instituted against us, could cause us to incur substantial costs and divert management’s attention and resources, which could have a material adverse effect on our business, financial condition and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could result in a delisting of our Class A ordinary shares.</w:t>
      </w:r>
    </w:p>
    <w:p>
      <w:pPr>
        <w:spacing w:after="0" w:line="225" w:lineRule="exact"/>
        <w:rPr>
          <w:sz w:val="20"/>
          <w:szCs w:val="20"/>
          <w:color w:val="auto"/>
        </w:rPr>
      </w:pPr>
    </w:p>
    <w:p>
      <w:pPr>
        <w:ind w:left="120" w:right="200" w:firstLine="881"/>
        <w:spacing w:after="0" w:line="254" w:lineRule="auto"/>
        <w:rPr>
          <w:sz w:val="20"/>
          <w:szCs w:val="20"/>
          <w:color w:val="auto"/>
        </w:rPr>
      </w:pPr>
      <w:r>
        <w:rPr>
          <w:rFonts w:ascii="Arial" w:cs="Arial" w:eastAsia="Arial" w:hAnsi="Arial"/>
          <w:sz w:val="18"/>
          <w:szCs w:val="18"/>
          <w:color w:val="auto"/>
        </w:rPr>
        <w:t>If, after listing, we fail to satisfy the continued listing requirements of the Nasdaq, such as the corporate governance requirements or the minimum closing bid price requirement, the Nasdaq Global Market may take steps to delist our Class A ordinary shares. Such a delisting would likely have a negative effect on the price of our Class A ordinary shares and would impair your ability to sell or purchase our Class A ordinary shares when you wish to do so. In the event of a delisting, we can provide no assurance that any action taken by us to restore compliance with listing requirements would allow our Class A ordinary shares to become listed again, stabilize the market price or improve the liquidity of our Class A ordinary shares, prevent our Class A ordinary shares from dropping below the Nasdaq minimum bid price requirement or prevent future non-compliance with the Nasdaq’s listing requirements.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may not approve.</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“Use of Proceeds.” Because of the number and variability of factors that will determine our use of the net proceeds from this offering, their ultimate use may vary substantially from their currently intended use. Our management might not apply the net proceeds in ways that ultimately increase the value of your investment, and the failure by our management to apply these funds effectively could harm our business. Pending their use, we plan to invest the net proceeds from this offering in future acquisitions, working capital, upgrading our information technology systems and expanding our logistics infrastructure. These investments may not yield a favorable return to our shareholders. If we do not invest or apply the net proceeds from this offering in ways that enhance the shareholder value, we may fail to achieve expected results, which could cause the price of our Class A ordinary shares to decline.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suffer immediate and substantial dilution in the net tangible book value of our Class A ordinary shares you purchase.</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 initial public offering price of our Class A ordinary shares is substantially higher than the pro forma as adjusted net tangible book value per share of our issued and outstanding ordinary shares immediately after the completion of this offering. Purchasers of our Class A ordinary shares in this offering will experience immediate dilution of approximately $8.24 per share based on the initial public offering price of $12.25 per share. In the past, we issued options to acquire ordinary shares at prices significantly below the initial public offering price. To the extent these outstanding options are ultimately exercised, investors purchasing our Class A ordinary shares in this offering will sustain further dilution. For a further description of the dilution that you will experience immediately after this offering, see “Dilution.”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shareholders, if they choose to act together, will continue to have the ability to control or significantly influence all matters submitted to shareholders for approval. Furthermore, many of our current directors were appointed by our principal shareholders.</w:t>
      </w:r>
    </w:p>
    <w:p>
      <w:pPr>
        <w:spacing w:after="0" w:line="184"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Following the completion of this offering, we anticipate that our executive officers, directors and greater than 5% shareholders, in the aggregate, will beneficially own approximately 86.1% of our total issued and outstanding ordinary shares (assuming no exercise of the underwriter’s option to purchase additional Class A ordinary shares and no exercise of outstanding options), or 95.5% of the total voting power. Furthermore, certain of our current directors were appointed by our principal shareholders. As a result, such persons or their appointees to our board of directors, acting together, will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w:t>
      </w:r>
    </w:p>
    <w:p>
      <w:pPr>
        <w:spacing w:after="0" w:line="16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securities, and, consequently, your ability to achieve a return on your investment will depend on appreciation, if any, in the price of our Class A ordinary shares.</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have never declared or paid any cash dividend on our ordinary shares.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its share premium account of our company, provided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depend on any future price appreciation of our Class A ordinary shares. There is no guarantee that our Class A ordinary shares will appreciate in value after this offering or even maintain the price at which you purchased our Class A ordinary shares. You may not realize a return on your investment in our Class A ordinary shares and you may even lose your entire investment in our Class A ordinary shares.</w:t>
      </w:r>
    </w:p>
    <w:p>
      <w:pPr>
        <w:spacing w:after="0" w:line="16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our Class A ordinary shares by our existing shareholders in the public market could cause the price of our Class A ordinary shares to fall.</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Sales of a substantial number of our Class A ordinary shares in the public market or the perception that these sales might occur could significantly reduce the market price of our Class A ordinary shares and impair our ability to raise adequate capital through the sale of additional equity securities.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Based on ordinary shares outstanding as of the date of this prospectus, upon the closing of this offering, we will have outstanding a total of</w:t>
      </w:r>
    </w:p>
    <w:p>
      <w:pPr>
        <w:spacing w:after="0" w:line="46" w:lineRule="exact"/>
        <w:rPr>
          <w:sz w:val="20"/>
          <w:szCs w:val="20"/>
          <w:color w:val="auto"/>
        </w:rPr>
      </w:pPr>
    </w:p>
    <w:p>
      <w:pPr>
        <w:jc w:val="both"/>
        <w:ind w:left="120" w:right="560"/>
        <w:spacing w:after="0" w:line="302" w:lineRule="auto"/>
        <w:rPr>
          <w:sz w:val="20"/>
          <w:szCs w:val="20"/>
          <w:color w:val="auto"/>
        </w:rPr>
      </w:pPr>
      <w:r>
        <w:rPr>
          <w:rFonts w:ascii="Arial" w:cs="Arial" w:eastAsia="Arial" w:hAnsi="Arial"/>
          <w:sz w:val="16"/>
          <w:szCs w:val="16"/>
          <w:color w:val="auto"/>
        </w:rPr>
        <w:t>40,243,546 ordinary shares after this offering, including 30,916,814 Class A ordinary shares, assuming no exercise of the underwriter’s option to purchase additional Class A ordinary shares and no exercise of outstanding options. Of these shares, only the Class A ordinary shares sold in this offering by us, plus any Class A ordinary shares sold upon exercise of the underwriter’s option to purchase additional Class</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ordinary shares, will be freely tradable, without restriction, in the public market immediately following this offering, unless they are purchased by one of our affiliates.</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Our directors and executive officers and all existing holders of our outstanding ordinary shares have entered into lock-up agreements with the underwriter pursuant to which they may not, with limited exceptions, for a period of 180 days from the date of this prospectus, offer, sell or otherwise transfer or dispose of any of our securities, without the prior written consent of the underwriter. The underwriter may permit our officers, directors and other shareholders and the holders of our outstanding options who are subject to the lock-up agreements to sell shares prior to the expiration of the lock-up agreements, subject to limitations. See “Underwriting.” Sales of these shares, or perceptions that they will be sold, could cause the trading price of our Class A ordinary shares to decline. After the lock-up agreements expire, additional shares will be eligible for sale in the public market, including the shares held by directors, executive officers and other affiliates which will be subject to volume limitations under Rule 144 under the Securities Act.</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additional ordinary shares that are either subject to outstanding options or reserved for future issuance under our employee benefit plans will become eligible for sale in the public market to the extent permitted by the provisions of various vesting schedules, the lock-up agreements and Rule 144 and Rule 701 under the Securities Act. If these additional ordinary shares are sold, or if it is perceived that they will be sold, in the public market, the trading price of our Class A ordinary shares could decline.</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Immediately after this offering, certain holders of our ordinary shares will be entitled to rights with respect to the registration of their shares under the Securities Act, subject to vesting and the 180-day lock-up agreements described above. See “Description of Share Capital—Registration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shareholders could have a material adverse effect on the trading price of our Class A ordinary shares.</w:t>
      </w:r>
    </w:p>
    <w:p>
      <w:pPr>
        <w:spacing w:after="0" w:line="18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ordinary shares less attractive to investors.</w:t>
      </w:r>
    </w:p>
    <w:p>
      <w:pPr>
        <w:spacing w:after="0" w:line="170"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5" w:lineRule="exact"/>
        <w:rPr>
          <w:sz w:val="20"/>
          <w:szCs w:val="20"/>
          <w:color w:val="auto"/>
        </w:rPr>
      </w:pPr>
    </w:p>
    <w:p>
      <w:pPr>
        <w:jc w:val="both"/>
        <w:ind w:left="1420" w:right="140" w:hanging="319"/>
        <w:spacing w:after="0" w:line="263"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being permitted to provide only two years of selected financial data and two years of audited financial statements, in addition to any required unaudited interim financial statements, with correspondingly reduced “Management’s Discussion and Analysis of Financial Condition and Results of Operations” disclosure;</w:t>
      </w:r>
    </w:p>
    <w:p>
      <w:pPr>
        <w:spacing w:after="0" w:line="210"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97" w:lineRule="exact"/>
        <w:rPr>
          <w:rFonts w:ascii="Arial" w:cs="Arial" w:eastAsia="Arial" w:hAnsi="Arial"/>
          <w:sz w:val="18"/>
          <w:szCs w:val="18"/>
          <w:color w:val="auto"/>
        </w:rPr>
      </w:pPr>
    </w:p>
    <w:p>
      <w:pPr>
        <w:ind w:left="1420" w:right="140" w:hanging="319"/>
        <w:spacing w:after="0" w:line="308" w:lineRule="auto"/>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PCAOB regarding mandatory audit firm rotation or a supplement to the auditor’s report providing additional information about the audit and the financial statements;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6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We have taken advantage of reduced reporting burdens in this prospectus. In particular, in this prospectus, we have provided only two years of audited consolidated financial statements and have not included all of the executive compensation related information that would be required if we were not an emerging growth company. We cannot predict whether investors will find our Class A ordinary shares less attractive if we rely on these exemptions. If some investors find our Class A ordinary shares less attractive as a result, there may be a less active trading market for our Class A ordinary shares and the trading price of our Class A ordinary shares may be reduced or more volatile.</w:t>
      </w:r>
    </w:p>
    <w:p>
      <w:pPr>
        <w:spacing w:after="0" w:line="17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certain U.S. securities law disclosure requirements that apply to a domestic U.S. issuer, which may limit the information publicly available to our shareholders.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As a foreign private issuer, we are not required to comply with all of the periodic disclosure and current reporting requirements of the Exchange Act and therefore there may be less publicly available information about us than if we were a U.S. domestic issuer. For example, we are not subject to the proxy rules in the U.S. and disclosure with respect to our annual general meetings will be governed by the Cayman Islands’ requirements. In addition, our officers, directors and principal shareholders are exempt from the reporting and “short-swing” profit recovery provisions of Section 16 of the Exchange Act and the rules thereunder. Therefore, our shareholders may not know on a timely basis when our officers, directors and principal shareholders purchase or sell our Class A ordinary shares.</w:t>
      </w:r>
    </w:p>
    <w:p>
      <w:pPr>
        <w:spacing w:after="0" w:line="192"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corporate governance listing standards.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As a foreign private issuer, we are permitted to take advantage of certain provisions in the Nasdaq Stock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Cayman Islands law does not impose a requirement that our board of directors consist of a majority of independent directors. Nor does Cayman Islands law impose specific requirements on the establishment of a compensation committee or nominating committee or nominating process. To the extent we choose to follow home country practice in the future, our shareholders may be afforded less protection than they otherwise would have under corporate governance listing standards applicable to U.S. domestic issuers.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ordinary shares are directly or indirectly held by residents of the U.S. and we fail to meet additional requirements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Stock Market Listing Rules. As a U.S.-listed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177"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b w:val="1"/>
          <w:bCs w:val="1"/>
          <w:i w:val="1"/>
          <w:iCs w:val="1"/>
          <w:color w:val="auto"/>
        </w:rPr>
        <w:t>Our Class A ordinary shares may be delisted under the HFCA Act if the PCAOB is unable to inspect auditors who are located in China and if we fail to implement measures to enable PCAOB’s inspection of our auditor. The delisting of our Class A ordinary shares, or the threat of their being delisted, may materially and adversely affect the value of your investment. Additionally, the inability of the PCAOB to conduct inspections deprives our investors of the benefits of such inspections.</w:t>
      </w:r>
    </w:p>
    <w:p>
      <w:pPr>
        <w:spacing w:after="0" w:line="187"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Class A ordinary shares from being traded on a national securities exchange or in the over the counter trading market in the U.S.</w:t>
      </w:r>
    </w:p>
    <w:p>
      <w:pPr>
        <w:spacing w:after="0" w:line="149" w:lineRule="exact"/>
        <w:rPr>
          <w:sz w:val="20"/>
          <w:szCs w:val="20"/>
          <w:color w:val="auto"/>
        </w:rPr>
      </w:pPr>
    </w:p>
    <w:p>
      <w:pPr>
        <w:ind w:left="120" w:right="420" w:firstLine="881"/>
        <w:spacing w:after="0" w:line="257" w:lineRule="auto"/>
        <w:rPr>
          <w:sz w:val="20"/>
          <w:szCs w:val="20"/>
          <w:color w:val="auto"/>
        </w:rPr>
      </w:pPr>
      <w:r>
        <w:rPr>
          <w:rFonts w:ascii="Arial" w:cs="Arial" w:eastAsia="Arial" w:hAnsi="Arial"/>
          <w:sz w:val="18"/>
          <w:szCs w:val="18"/>
          <w:color w:val="auto"/>
        </w:rPr>
        <w:t>Our auditor, the independent registered public accounting firm that issues the audit report included elsewhere in this prospectus, as an auditor of companies that are traded publicly in the U.S. and a firm registered with the PCAOB, is subject to laws in the U.S.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currently not inspected by the PCAOB.</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On March 24, 2021, the SEC adopted interim final rules relating to the implementation of certain disclosure and documentation requirements of the HFCA Act. We will be required to comply with these rules if the SEC identifies us as having a “non-inspection” year under a process to be subsequently established by the SEC. The SEC is assessing how to implement other requirements of the HFCA Act, including the listing and trading prohibition requirements described above. On December 2, 2021, the SEC adopted amendments to finalize rules implementing the submission and disclosure requirements in the HFCA Act. The rules apply to registrants the SEC identifies as having filed an annual report with an audit report issued by a registered public accounting firm that is located in a foreign jurisdiction and that the PCAOB is unable to inspect or investigate, or the Commission-Identified Issuers. The final amendments require Commission-Identified Issuers to submit documentation to the SEC establishing that it is not owned or controlled by a governmental entity in the public accounting firm’s foreign jurisdiction.</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Furthermore, on June 22, 2021, the U.S. Senate passed the Accelerating Holding Foreign Companies Accountable Act, which, if enacted into law would amend the HFCA Act and require the SEC to prohibit an issuer’s securities from trading on U.S. stock exchanges if its auditor is not subject to PCAOB inspections for two consecutive “non-inspection” years instead of three, and therefore reducing the time before our securities may be prohibited from trading on the Nasdaq or other U.S. stock exchanges, and this ultimately could result in our Class A ordinary shares being delisted.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 On December 16, 2021, the PCAOB issued a report on its determinations that the PCAOB is unable to inspect or investigate completely PCAOB-registered public accounting firms headquartered in mainland China and Hong Kong, because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of positions taken by PRC authorities in these jurisdictions. The PCAOB included in its report a list of registered public accounting firms headquartered in mainland China and Hong Kong that the PCAOB is unable to inspect or investigate completely, including our auditor, KPMG Huazhen LLP. We may take measures to enable PCAOB’s inspection of our auditor. Given that we have operations in the U.S., we may in the future maintain our accounting books and records in the U.S., and if required by the HFCA Act, the PCAOB or the SEC, we shall in the future, but shall in no event later than after being identified as a Commission-Identified Issuer for three consecutive years, change our auditor to an independent registered public accounting firm located in the U.S. subject to the PCAOB’s inspection in order to maintain the listing of our Class A ordinary shares. We may incur additional costs in connection with such change and we cannot assure you that we could do so in a timely manner, if at all. If we fail to implement measures to comply with the HFCA Act and the uncertainty surrounding the possible new rule and regulations regarding the implementation of the HFCA Act remains, such uncertainty could cause the market price of our Class A ordinary shares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Class A ordinary shares when you wish to do so, and the risk and uncertainty associated with a potential delisting would have a negative impact on the price of our Class A ordinary shares.</w:t>
      </w:r>
    </w:p>
    <w:p>
      <w:pPr>
        <w:spacing w:after="0" w:line="168"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19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SEC has announced that the SEC staff is preparing a consolidated proposal for the rules regarding the implementation of the HFCA Act and to address the recommendations in the PWG report. It is unclear when the SEC will complete its rulemaking and when such rules will become effective and what, if any, of the PWG recommendations will be adopted. The implications of this possible regulation in addition the requirements of the HFCA Act are uncertain.</w:t>
      </w:r>
    </w:p>
    <w:p>
      <w:pPr>
        <w:spacing w:after="0" w:line="187"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PCAOB’s inability to conduct inspections in China prevents it from fully evaluating the audits and quality control procedures of our independent registered public accounting firm. As a result, we and investors in our securities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PCAOB’s inspections, which could cause investors and potential investors in our stock to lose confidence in our audit procedures and reported financial information and the quality of our financial statements.</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U.S. The PCAOB continues to be in discussions with the CSRC and the PRC Ministry of Finance to permit joint inspections in the PRC of audit firms that are registered with the PCAOB and audit Chinese companies that trade on U.S. exchanges.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Certain industry data and information in this prospectus were obtained from third-party sources and were not independently verified by us.</w:t>
      </w:r>
    </w:p>
    <w:p>
      <w:pPr>
        <w:spacing w:after="0" w:line="248"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This prospectus contains certain industry data and information from third-party sources. We have not independently verified the data and information contained in such third-party publications and reports. Data and information in such third-party publications and reports may use third-party methodologies, which may differ from the data collection methods used by us. In addition, these industry publications and reports generally indicate that the information is believed to be reliable, but do not guarantee the accuracy and completeness of such information.</w:t>
      </w:r>
    </w:p>
    <w:p>
      <w:pPr>
        <w:spacing w:after="0" w:line="171"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Statistical data in these publications also include projections based on a number of assumptions. The agile office space industry may not grow at the rates projected by market data, or at all. If any of the assumptions underlying the market data is later found to be incorrect, actual results may differ from the projections based on these assumptions. Material slowdown of the agile office space industry against the projected rates may have materially adversely affect our business and the market price of our ordinary shares.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U.S. public company may strain our resources, result in more litigation and divert management’s attention.</w:t>
      </w:r>
    </w:p>
    <w:p>
      <w:pPr>
        <w:spacing w:after="0" w:line="237"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As a U.S. public company following this offering, we will be subject to various reporting requirements of the Exchange Act, the Sarbanes-Oxley Act of 2002, the Dodd-Frank Wall Street Reform and Consumer Protection Act, or the Dodd-Frank Act, the listing requirements of the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particularly after we are no longer an “emerging growth company” and/or a foreign private issuer. For example, for so long as we remain a foreign private issuer, we will not be required to file with the SEC quarterly reports with respect to our business and results of operations, which are required to be made by domestic issuers pursuant to the Exchange Act.</w:t>
      </w:r>
    </w:p>
    <w:p>
      <w:pPr>
        <w:spacing w:after="0" w:line="17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U.S.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 being a U.S. public company and a Cayman Islands company will have an impact on disclosure of information and require compliance with two sets of applicable rules. This could result in uncertainty regarding compliance matters and higher costs necessitated by legal analysis of dual legal regimes, ongoing revisions to disclosure and adherence to heightened governance practices.</w:t>
      </w:r>
    </w:p>
    <w:p>
      <w:pPr>
        <w:spacing w:after="0" w:line="192"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5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By disclosing information in this prospectus and in future filings required of a U.S.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the price and trading volume of our Class A ordinary shares could decline.</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trading market for our Class A ordinary shares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Class A ordinary shares would be negatively impacted. In the event we obtain securities or industry analyst coverage, if one or more of the analysts who covers us downgrades our Class A ordinary shares, the trading price of our Class A ordinary shares would likely decline. If one or more of these analysts ceases to cover us or fails to regularly publish reports on us, interest in our Class A ordinary shares could decrease, which could cause the price or trading volume of our Class A ordinary shares to decline.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Fluctuations in currency exchange rates may have a material adverse effect on our results of operations and the value of your investment.</w:t>
      </w:r>
    </w:p>
    <w:p>
      <w:pPr>
        <w:spacing w:after="0" w:line="248"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The value of the Renminbi against the U.S. dollar and other currencies may fluctuate and is affected by, among other things, changes in political and economic conditions.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U.S. dollar remained within a narrow band. In June 2010, the People’s Bank of China, or PBOC, announced that the PRC government would increase the flexibility of the exchange rate, and thereafter allowed the Renminbi to appreciate slowly against the U.S. dollar within the narrow band fixed by the PBOC. However, more recently, on August 11, 12 and 13, 2015, the PBOC significantly devalued the Renminbi by fixing its price against the U.S. dollar 1.9%, 1.6%, and 1.1% lower than the previous day’s value, respectively. On October 1, 2016, the Renminbi joined the International Monetary Fund’s basket of currencies that make up the Special Drawing Right, or SDR, along with the U.S. dollar, the Euro, the Japanese yen and the British pound. In the fourth quarter of 2016, the Renminbi depreciated significantly while the U.S. dollar surged and the PRC experienced persistent capital outflows. With the development of the foreign exchange market and progress towards interest rate liberalization and Renminbi internationalization, the PRC government may in the future announce further changes to the exchange rate system. There is no guarantee that the Renminbi will not appreciate or depreciate significantly in value against the U.S. dollar in the future. It is difficult to predict how market forces, PRC and U.S. government’s policies and regulations may impact the exchange rate between the Renminbi and the U.S. dollar in the future.</w:t>
      </w:r>
    </w:p>
    <w:p>
      <w:pPr>
        <w:spacing w:after="0" w:line="184"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Significant revaluation of the Renminbi may have a material adverse effect on your investment. For example, to the extent that we need to convert U.S. dollars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for other business purposes, appreciation of the U.S. dollar against the Renminbi would have a negative effect on the U.S. dollar amount available to us. In addition, appreciation or depreciation in the value of the Renminbi relative to U.S. dollars would affect our financial results reported in U.S. dollar terms regardless of any underlying change in our business or results of operations.</w:t>
      </w:r>
    </w:p>
    <w:p>
      <w:pPr>
        <w:spacing w:after="0" w:line="16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Very limited hedging options are available in the PRC to reduce our exposure to exchange rate fluctuations. To date, we have not entered into any hedging transactions in an effort to reduce our exposure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84"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b w:val="1"/>
          <w:bCs w:val="1"/>
          <w:i w:val="1"/>
          <w:iCs w:val="1"/>
          <w:color w:val="auto"/>
        </w:rPr>
        <w:t>Your right to participate in any future rights offerings may be limited, which may cause dilution to your holdings, and you may not receive distributions with respect to the underlying ordinary shares if it is impractical to make them available to you.</w:t>
      </w:r>
    </w:p>
    <w:p>
      <w:pPr>
        <w:spacing w:after="0" w:line="146"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U.S. unless we register the rights and the securities to which the rights relate under the Securities Act or an exemption from the registration requirements is available.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United States Holders of our ordinary shares.</w:t>
      </w:r>
    </w:p>
    <w:p>
      <w:pPr>
        <w:spacing w:after="0" w:line="170"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 general, a non-U.S. corporation is a passive foreign investment company, or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gains, rents and royalties (other than certain rents and royalties derived in the active conduct of a trade or business). Cash is generally a passive asset for these purposes. Goodwill is generally characterized as an active asset to the extent it is associated with business activities that produce active income.</w:t>
      </w:r>
    </w:p>
    <w:p>
      <w:pPr>
        <w:spacing w:after="0" w:line="178"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Based on the manner in which we currently operate our business, the current and expected composition of our income and assets and the expected value of our assets (including the value of our goodwill, which is based on the expected price of our Class A ordinary shares in this offering), we believe we were not a PFIC for our taxable year ended December 31, 2021,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Because we will hold a substantial amount of cash following this offering, we may be or become a PFIC if our market capitalization declines. Moreover, it is not entirely clear how the contractual arrangements between us, our consolidated VIEs and their shareholders will be treated for purposes of the PFIC rules, and we may be or become a PFIC if our consolidated VIEs are not treated as owned by us for these purposes. Accordingly, there can be no assurance that we will not be a PFIC for our current or any future taxable year. If we were a PFIC for any taxable year during which a United States Holder (as defined in “Taxation—Material U.S. Federal Income Tax Consequences”) held ordinary shares, the United States Holder generally would be subject to adverse U.S. federal income tax consequences, including increased tax liability on disposition gains and additional reporting requirements. See “Taxation—Material U.S. Federal Income Tax Consequences—Passive Foreign Investment Company.”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If a United States Holder is treated as owning, directly, indirectly or constructively, at least 10% of the value or voting power of our ordinary shares, such United States Holder may be treated as a “United States 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Holder information that may be necessary to comply with the reporting and tax paying obligations described in this risk factor. United States Holders should consult their tax advisors regarding the potential application of these rules to their investment in our Class A ordinary shares.</w:t>
      </w:r>
    </w:p>
    <w:p>
      <w:pPr>
        <w:spacing w:after="0" w:line="17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amended and restated memorandum and articles of association, the Companies Act of the Cayman Islands and the common law of the Cayman Islands. The rights of shareholders to take action against our directors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U.S. In particular, the Cayman Islands has a less developed body of securities laws than the U.S. Some U.S. states, such as Delaware, have more fully developed and judicially interpreted bodies of corporate law than the Cayman Islands. In addition, Cayman Islands companies may not have the standing to initiate a shareholder derivative action in a federal court of the U.S.</w:t>
      </w:r>
    </w:p>
    <w:p>
      <w:pPr>
        <w:spacing w:after="0" w:line="18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Under Cayman Islands law, the names of our current directors can be obtained from a search conducted at the Registrar of Companies. Our directors have discretion under our amended and restated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or members of our board of directors than they would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public shareholders of a company incorporated in the U.S. For a discussion of significant differences between the provisions of the Companies Act of the Cayman Islands and the laws applicable to companies incorporated in the U.S. and their shareholders, see “Description of Share Capital— Differences in Corporate Law.”</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We have identified one material weakness in our internal control over financial reporting. If our remediation of the material weakness is not effective, or if we experience additional material weaknesses in the future or otherwise fail to maintain proper and effective internal control over financial reporting, our ability to produce accurate and timely consolidated financial statements could be impaired, investors may lose confidence in our financial reporting and the trading price of our Class A ordinary shares may decline.</w:t>
      </w:r>
    </w:p>
    <w:p>
      <w:pPr>
        <w:spacing w:after="0" w:line="171"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Section 404 of Sarbanes-Oxley Act of 2002, our management will be required to report upon the effectiveness of our internal control over financial reporting beginning with the annual report for our fiscal year ending December 31, 2023.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 is unable to conclude that our internal control over financial reporting is effective, investors may lose confidence in our financial reporting and the trading price of our Class A ordinary shares may decline.</w:t>
      </w:r>
    </w:p>
    <w:p>
      <w:pPr>
        <w:spacing w:after="0" w:line="18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and our independent registered public accounting firm identified one material weakness in our internal control over financial reporting as of December 31, 2020 and 2021. The material weakness identified is our lack of sufficient accounting personnel with appropriate U.S. GAAP knowledge to prepare financial statements in accordance with U.S. GAAP and SEC reporting requirements. For example, we had inadvertently reflected in our previously issued 2019 and 2020 consolidated financial statements and our previously issued unaudited condensed financial statements as of and for the three months ended March 31, 2021 the recognition of share-based compensation expenses. In particular, with respect to those share awards which contain, in addition to requisite service condition, a performance condition of being exercisable only after the consummation of a qualified initial public offering by our company, we had recognized share-based payment expenses using the straight-line basis over the requisite service period for each separately vesting portion instead of recognizing the compensation expenses relating to these share awards vested cumulatively upon the consummation of a qualified initial public offering. As a result, we have restated the previously issued 2019 and 2020 consolidated financial statements. For details, please refer to note 2(c) to our consolidated financial statements and note 1(b) of our unaudited condensed consolidated financial statements included elsewhere in this prospectus. Neither we nor our independent registered public accounting firm undertook a comprehensive assessment of our internal control under the Sarbanes-Oxley Act of 2002 for purposes of identifying and reporting any weakness in our internal control over financial reporting. Had we performed a formal assessment of our internal control over financial reporting or had our independent registered public accounting firm performed an audit of our internal control over financial reporting, additional material weaknesses or control deficiencies may have been identified.</w:t>
      </w:r>
    </w:p>
    <w:p>
      <w:pPr>
        <w:spacing w:after="0" w:line="171"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We are working to remediate the material weakness and are taking steps to strengthen our internal control over financial reporting through the development and implementation of processes and controls over the financial reporting process. See “Management’s Discussion and Analysis of Financial Condition and Results of Operations—Internal Control Over Financial Reporting.” However, we cannot assure you that these measures will significantly improve or remediate the material weakness described above.</w:t>
      </w:r>
    </w:p>
    <w:p>
      <w:pPr>
        <w:spacing w:after="0" w:line="18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We cannot assure you that there will not be additional material weaknesses or any significant deficiencies in our internal control over financial reporting in the future. Any failure to maintain internal control over financial reporting could severely inhibit our ability to accurately report our financial condition, results 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under Section 404 of the Sarbanes-Oxley Act of 2002, investors may lose confidence in the accuracy and completeness of our financial reports, the market price of our Class A ordinary shares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Our post-offering amended and restated memorandum and articles of association contain anti-takeover provisions that could discourage a third party from acquiring us, which could limit our shareholders’ opportunity to sell their shares at a premium.</w:t>
      </w:r>
    </w:p>
    <w:p>
      <w:pPr>
        <w:spacing w:after="0" w:line="146"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Our post-offering amended and restated memorandum and articles of association that will become effective immediately prior to the completion of this offering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or otherwise.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ordinary shares may be materially and adversely affected.</w:t>
      </w:r>
    </w:p>
    <w:p>
      <w:pPr>
        <w:spacing w:after="0" w:line="16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b w:val="1"/>
          <w:bCs w:val="1"/>
          <w:i w:val="1"/>
          <w:iCs w:val="1"/>
          <w:color w:val="auto"/>
        </w:rPr>
        <w:t>Our post-offering amended and restated memorandum and articles of association provide that the courts of the Cayman Islands and the U.S. District Court for the Southern District of New York (or, if the U.S. District Court for the Southern District of New York lacks subject matter jurisdiction over a particular dispute, the state courts in New York County, New York) will be the exclusive forums for substantially all disputes between us and our shareholders, which could limit our shareholders’ ability to obtain a favorable judicial forum for complaints against us or our directors, officers or employees.</w:t>
      </w:r>
    </w:p>
    <w:p>
      <w:pPr>
        <w:spacing w:after="0" w:line="188"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Our post-offering amended and restated memorandum and articles of association that will become effective immediately prior to the completion of this offering provide that, unless otherwise agreed by us, (i) the U.S. District Court for the Southern District of New York (or, if the U.S. District Court for the Southern District of New York lacks subject matter jurisdiction over a particular dispute, the state courts in New York County, New York) shall have exclusive jurisdiction to hear, settle and/or determine any dispute, controversy or claim arising under the provisions of the Securities Act or the Exchange Act, which are referred to as the “U.S. Actions” and (ii) save for such U.S. Actions, the courts of the Cayman Islands shall have exclusive jurisdiction to hear, settle and/or determine any dispute, controversy or claim whether arising out of or in connection with our articles of association or otherwise, including without limitation:</w:t>
      </w:r>
    </w:p>
    <w:p>
      <w:pPr>
        <w:spacing w:after="0" w:line="222"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our company;</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 officer or other employee to our company or our shareholders;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under any provision of the Companies Act of the Cayman Islands or our memorandum and articles of association;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4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against our company which if brought in the U.S. would be a claim arising under the internal affairs doctrine (as such concept is recognized under the laws of the U.S.).</w:t>
      </w:r>
    </w:p>
    <w:p>
      <w:pPr>
        <w:spacing w:after="0" w:line="170"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These exclusive-forum provisions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security,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post-offering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Our authorized and issued ordinary shares will be divided into Class A ordinary shares and Class B ordinary shares immediately prior to the completion of this offering. Holders of Class A ordinary shares will be entitled to one vote per share, while holders of Class B ordinary shares will be entitled to ten votes per share. We will issue Class A ordinary shares in this offering. Each Class B ordinary share is convertible into one Class A ordinary share at any time by the holder thereof, while Class A ordinary shares are not convertible into Class B ordinary shares under any circumstances. After this offering, the holder of Class B ordinary shares will have the ability to control matters requiring shareholders’ approval, including any amendment of our memorandum and articles of association and approval over any change of control transactions. See the paragraph herebelow for more details. Any conversions of Class B ordinary shares into Class A ordinary shares may dilute the percentage ownership of the existing holders of Class A ordinary shares within their class of ordinary shares.</w:t>
      </w:r>
    </w:p>
    <w:p>
      <w:pPr>
        <w:spacing w:after="0" w:line="178"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Upon the completion of this offering, Mr. Larry Lei Wu, our chairman of board of directors and chief executive officer, will continue to beneficially own all of our Class B ordinary shares. These Class B ordinary shares will constitute approximately 23.2% of our total issued and outstanding share capital immediately after the completion of this offering and 75.1% of the aggregate voting power of our total issued and outstanding share capital immediately after the completion of this offering due to the disparate voting powers associated with our dual-class share structure, assuming the underwriter does not exercise the over-allotment option. As a result of the dual-class share structure and the concentration of ownership, holders of Class B ordinary shares will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Class A ordinary shares. In addition, Mr. Larry Lei Wu, together with certain of his affiliates, have undertaken to the our company,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among other things, that, for a period of five years after the closing of this offering, without the prior written consent of our board of directors and at least a majority of the independent directors, he and his affiliates will not agree to, approve, support, vote (in favor of or against), or otherwise cause our company to agree to, enter into or consummate, a privatization transaction, as defined in “Description of Share Capital—Ordinary Shares— Conversion,” unless the consideration per Class A ordinary share payable to shareholders of the Class A ordinary shares in connection with such privatization transaction is at least equal to the price per Class A ordinary share initially offered to the public in this offering (subject to appropriate adjustment in the event of any stock dividend, stock split, combination or other similar recapitalization with respect to the Class A ordinary shares). See “Description of Share Capital—Ordinary Shares—Conversion” for more information. This concentrated control will limit your ability to influence corporate matters and could discourage others from pursuing any potential merger, takeover or other change of control transactions that holders of Class A ordinary shares may view as beneficial.</w:t>
      </w:r>
    </w:p>
    <w:p>
      <w:pPr>
        <w:spacing w:after="0" w:line="18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dual-class voting structure may render our Class A ordinary shares ineligible for inclusion in certain stock market indices, and thus adversely affect the trading price and liquidity of our Class A ordinary shares.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spacing w:after="0" w:line="178"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Upon the completion of this offering, we will be, a “controlled company” within the meaning of the Nasdaq Stock Market Listing Rules and, as a result, may rely on exemptions from certain corporate governance requirements that provide protection to shareholders of other companies.</w:t>
      </w:r>
    </w:p>
    <w:p>
      <w:pPr>
        <w:spacing w:after="0" w:line="100"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Upon the completion of this offering, we will be a “controlled company” as defined under the Nasdaq Stock Market Listing Rules because Mr. Larry Lei Wu, our chairman of board of directors and chief executive officer, will hold more than 50% of our total voting power for the election of directors through TALENT BOOM GROUP LIMITED and Ji Xiang Hu Tong Holdings Limited, the entities controlled by Mr. Wu. For so long as we remain a “controlled company” under that definition, we are permitted to elect to rely, and may rely, on certain exemptions from corporate governance rules, including an exemption from the rule that a majority of our board of directors must be independent directors or that we have to establish a nominating committee and a compensation committee composed entirely of independent directors. In the event that we elect to rely on one or more of these exemptions, you will not have the same protection afforded to shareholders of companies that are subject to these corporate governance requirements.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This prospectus contains forward-looking statements about our current expectations and views of future events, which are contained principally in the sections entitled “Prospectus Summary,” “Risk Factors,” “Use of Proceeds,” “Management’s Discussion and Analysis of Financial Condition and Results of Operations,” “Industry Overview” and “Business.” These forward-looking statements relate to events that involve known and unknown risks, uncertainties and other factors which may cause our actual results, performance or achievements to be materially different from those expressed or implied by these statements.</w:t>
      </w:r>
    </w:p>
    <w:p>
      <w:pPr>
        <w:spacing w:after="0" w:line="188"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You can identify some of these forward-looking statements by words or phrases such as “may,” “will,” “could,” “expect,” “anticipate,” “aim,” “estimate,” “intend,” “plan,” “believe,” “is/are likely to,” “propose,”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 forward-looking statements included in this prospectus relate to, among other things:</w:t>
      </w:r>
    </w:p>
    <w:p>
      <w:pPr>
        <w:spacing w:after="0" w:line="215" w:lineRule="exact"/>
        <w:rPr>
          <w:sz w:val="20"/>
          <w:szCs w:val="20"/>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goals;</w:t>
      </w:r>
    </w:p>
    <w:p>
      <w:pPr>
        <w:spacing w:after="0" w:line="252"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business and operating strategies and plans for the development of existing and new businesses, ability to implement such strategies and plans and expected time;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 regarding the prospects of our business model;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dividend policy;</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the effectiveness of our marketing initiatives and the demand for and market acceptance of our products and services;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customers and business partners;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trends in, expected growth in and market size of our industry in the U.S., China and globally;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and enhance our market position;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in, or changes to, laws, regulations, governmental policies, incentives and taxation affecting our operations, in particular in the markets we are in;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relevant governmental policies and regulations relating to our businesses and industry;</w:t>
      </w:r>
    </w:p>
    <w:p>
      <w:pPr>
        <w:spacing w:after="0" w:line="252"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environment, competitive landscape and potential competitor behavior in our industry; overall industry outlook in our industry;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train and retain executives and other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proposed use of proceeds from this offering;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of the global financial and capital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inflation, interest rates and exchange rates;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length and severity of the ongoing COVID-19 pandemic and its impact on our business and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business, political, social and economic conditions in the U.S., China and other markets we have business;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120" w:right="140" w:firstLine="881"/>
        <w:spacing w:after="0" w:line="289"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and our actual results could be materially different from our expectations. Important risks and factors that could cause our actual results to be materially different from our expectations are generally set forth in “Prospectus Summary— Summary of Risk Factors,” “Risk Factors,” “Management’s Discussion and Analysis of Financial Condition and Results of Operations,” “Business,” “Regulation” and other sections in this prospectus.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66"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This prospectus contains information derived from various government and private publications. These publications include forward-looking statements, which are subject to risks, uncertainties and assumptions.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Our industry may not grow at the rate projected by market data, or at all. Failure of the market to grow at the projected rate may have a material and adverse effect on our business and the market price of our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See “Risk Factors—Risks Related to Our Class A Ordinary Shares and this Offering—Certain industry data and information in this prospectus were obtained from third-party sources and were not independently verified by us.” Therefore, you should not place undue reliance on these statements.</w:t>
      </w:r>
    </w:p>
    <w:p>
      <w:pPr>
        <w:spacing w:after="0" w:line="166"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in this prospectus are made based on events and information as of the date of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or performance may materially differ from what we expect.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We estimate that we will receive net proceeds from this offering of approximately $29.7 million, or approximately $34.6 million if the underwriter exercises the over-allotment option to purchase the additional Class A ordinary shares in full, after deducting underwriting discounts and commissions and estimated offering expenses payable by us. These estimates are based on the initial public offering price of $12.25 per Class A ordinary share.</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primary purposes of this offering are to create a public market for our Class A ordinary shares for the benefit of all shareholders, retain talented employees by providing them with equity incentives and obtain additional capital. We plan to use the net proceeds of this offering for working capital, operating expenses, capital expenditures and other general corporate purposes including funding potential strategic acquisitions, investments and alliances, although we do not presently have specific plans and are not currently engaged in any discussions or negotiations with respect to any such transaction.</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amounts and timing of any expenditures will vary depending on the amount of cash generated by our operations, and the rate of growth, if any, of our business, and our plans and business conditions. The foregoing represents our intentions as of the date of this prospectus based upon our current plans and business conditions to use and allocate the net proceeds of this offering. However, our management will have significant flexibility and discretion in applying the net proceeds of this offering. Unforeseen events or changed business conditions may result in application of the proceeds of this offering in a manner other than as described in this prospectus.</w:t>
      </w:r>
    </w:p>
    <w:p>
      <w:pPr>
        <w:spacing w:after="0" w:line="18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To the extent that the net proceeds we receive from this offering are not immediately applied for the above purposes, we plan to invest the net proceeds in short-term, interest-bearing debt instruments or bank deposits.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As an offshore holding company, certain local laws and regulations may restrict our abilities to fund our local subsidiaries. For example, under PRC laws and regulations, we are permitted to use the net proceeds of this offering to provide funding to our PRC Subsidiaries only through loans or capital contributions. Subject to satisfaction of necessary registrations with government authorities and required governmental approvals, we may extend inter-company loans or make additional capital contributions to our PRC Subsidiaries. We cannot assure you that we will be able to make such registrations or obtain such approvals in a timely manner, or at all. See “Risk Factors—Risks Related to Doing Business in China—PRC regulation of loans to, and direct investments in, PRC entities by offshore holding companies and governmental control of currency conversion may restrict or prevent us from using the proceeds of this offering to make loans or additional capital contributions to our PRC Subsidiaries, which could materially and adversely affect our liquidity and our ability to fund and expand our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board of directors has discretion as to whether to distribute dividends, subject to applicable laws. In addition, our shareholders may by ordinary resolution declare a dividend, but no dividend may exceed the amount recommended by our board of directors. Under Cayman Islands law, a Cayman Islands company may pay a dividend on its shares out of either profit or share premium account, provided that in no circumstances may a dividend be paid if this would result in the company being unable to pay its debts as they fall due in the ordinary course of business. Even if our board of directors decides to pay or recommend dividends, the form, frequency and amount will depend upon our future operations and earnings, capital requirements and surplus, general financial condition, contractual restrictions and other factors that our board of directors may deem relevant. Cash dividends on our Class A ordinary shares, if any, will be paid in U.S. dollars. All dividends and other distributions declared and payable on our ordinary shares may under the current laws and regulations of the Cayman Islands be paid to the registered holders of such ordinary shares, and where they are to be paid from the Cayman Islands are freely transferable out of the Cayman Islands and there are no restrictions under Cayman Islands law which would prevent our company from paying dividends to shareholders in US dollars or any other currency.</w:t>
      </w:r>
    </w:p>
    <w:p>
      <w:pPr>
        <w:spacing w:after="0" w:line="168"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do not have any plan to declare or pay any cash dividends on our ordinary shares in the foreseeable future after this offering. We intend to retain most, if not all, of our available funds and future earnings to operate and expand our business.</w:t>
      </w:r>
    </w:p>
    <w:p>
      <w:pPr>
        <w:spacing w:after="0" w:line="170"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GigaCloud Technology Inc is a holding company incorporated in the Cayman Islands and not a direct Chinese or Hong Kong operating company. We rely principally on dividends distributed by our operating subsidiaries for our cash requirements, including distribution of dividends to our shareholders. Dividends distributed by our subsidiaries in certain jurisdictions, such as in China and Japan, are subject to local taxes.</w:t>
      </w:r>
    </w:p>
    <w:p>
      <w:pPr>
        <w:spacing w:after="0" w:line="14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addition, our subsidiaries may be restricted in their ability to pay dividends or distributions, or make other transfers to us as a result of the laws of their respective jurisdictions of organization, agreements of our subsidiaries or covenants under indebtedness that we or they have incurred or may incur. For example, PRC regulations may restrict the ability of our PRC Subsidiaries to pay dividends to us, if any, and only allow a PRC company to pay dividends out of its accumulated distributable after-tax profits as determined in accordance with its articles of association and the PRC accounting standards and regulations. Our consolidated VIEs in the U.K. are only able to make distributions out of profits available for distribution, which are their accumulated, realized profits, so far as not previously utilized by distribution or capitalization, less their accumulated, realized losses, so far as not previously written off in a reduction or reorganization of capital duly made. Our Japanese subsidiaries is permitted to distribute dividends only to the extent of the “distributable amount” stipulated in the Companies Act of Japan, or Japan Companies Act. See “Risk Factors—Risks Related to Doing Business in China—Dividends paid to our foreign investors and gains on the sale of our Class A ordinary shares by our foreign investors may become subject to PRC tax,” and “Regulation—Regulatory Overview of the PRC—Regulations Relating to Dividend Distributions” and “Regulation— Regulatory Overview of the PRC—Laws and Regulations Relating to Taxation—Withholding Tax on Dividends.”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capitalization as of March 31, 2022 presented on:</w:t>
      </w:r>
    </w:p>
    <w:p>
      <w:pPr>
        <w:spacing w:after="0" w:line="252"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basis to reflect:</w:t>
      </w:r>
    </w:p>
    <w:p>
      <w:pPr>
        <w:spacing w:after="0" w:line="252" w:lineRule="exact"/>
        <w:rPr>
          <w:rFonts w:ascii="Arial" w:cs="Arial" w:eastAsia="Arial" w:hAnsi="Arial"/>
          <w:sz w:val="18"/>
          <w:szCs w:val="18"/>
          <w:color w:val="auto"/>
        </w:rPr>
      </w:pPr>
    </w:p>
    <w:p>
      <w:pPr>
        <w:ind w:left="1960" w:right="100" w:hanging="535"/>
        <w:spacing w:after="0" w:line="296"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vest and exercise of 4,515,816 share options upon the completion of this offering, which were registered in the Trust Holdcos and recorded as treasury shares at the par value of US$0.05 per share as of March 31, 2022; assuming such exercise, the related exercise price would be recognized as subscription receivable in the amount of US$226 thousand at the exercise price of US$0.05 per share, the unrecognized share-based compensation expense of US$9,712 thousand as of March 31, 2022 would be recognized and the related treasury shares would be reclassified as Class A ordinary shares upon this offering;</w:t>
      </w:r>
    </w:p>
    <w:p>
      <w:pPr>
        <w:spacing w:after="0" w:line="188" w:lineRule="exact"/>
        <w:rPr>
          <w:rFonts w:ascii="Arial" w:cs="Arial" w:eastAsia="Arial" w:hAnsi="Arial"/>
          <w:sz w:val="16"/>
          <w:szCs w:val="16"/>
          <w:color w:val="auto"/>
        </w:rPr>
      </w:pPr>
    </w:p>
    <w:p>
      <w:pPr>
        <w:ind w:left="1960" w:right="60" w:hanging="535"/>
        <w:spacing w:after="0" w:line="25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vest and exercise of 1,056 share options upon the completion of this offering, which were not registered in the Trust Holdcos nor recorded as treasury shares as of March 31, 2022; no subscription receivable would be recorded for such options, as the exercise price at US$0.05 per share would be trivial for the options in total, the unrecognized share-based compensation expense of US$8 thousand as of March 31, 2022 would be recognized and we would newly issue 1,056 Class A ordinary shares to the option holders upon this offering;</w:t>
      </w:r>
    </w:p>
    <w:p>
      <w:pPr>
        <w:spacing w:after="0" w:line="214" w:lineRule="exact"/>
        <w:rPr>
          <w:rFonts w:ascii="Arial" w:cs="Arial" w:eastAsia="Arial" w:hAnsi="Arial"/>
          <w:sz w:val="18"/>
          <w:szCs w:val="18"/>
          <w:color w:val="auto"/>
        </w:rPr>
      </w:pPr>
    </w:p>
    <w:p>
      <w:pPr>
        <w:ind w:left="1960" w:hanging="535"/>
        <w:spacing w:after="0" w:line="254"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vest and exercise of 120,042 restricted shares which were registered in the Trust Holdcos and recorded as treasury shares at the par value of US$0.05 per share as of March 31, 2022, the prepaid consideration of restricted shares in the amount of US$898 thousand at US$7.48 per share collected by us before March 31, 2022 to be reclassified to equity, with the US$6 thousand recorded as Class A ordinary shares at the par value of US$0.05 per share and the remaining portion of US$892 thousand recorded as additional paid-in capital; the unrecognized share-based compensation expense of US$1.0 thousand as of March 31, 2022 would be recognized and the related treasury shares would be reclassified as Class A ordinary shares upon this offering;</w:t>
      </w:r>
    </w:p>
    <w:p>
      <w:pPr>
        <w:spacing w:after="0" w:line="221" w:lineRule="exact"/>
        <w:rPr>
          <w:rFonts w:ascii="Arial" w:cs="Arial" w:eastAsia="Arial" w:hAnsi="Arial"/>
          <w:sz w:val="18"/>
          <w:szCs w:val="18"/>
          <w:color w:val="auto"/>
        </w:rPr>
      </w:pPr>
    </w:p>
    <w:p>
      <w:pPr>
        <w:ind w:left="1960" w:right="20" w:hanging="535"/>
        <w:spacing w:after="0" w:line="255"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re-designation of 15,875,571 pre-offering ordinary shares, of which, the 7,755,689 pre-offering ordinary shares which were at a par value of US$0.05 per share and beneficially owned by Mr. Larry Lei Wu, our founder, chairman of board of directors and chief executive officer, would be reclassified as Class B ordinary shares, and the remaining portion of 8,119,882 pre-offering ordinary shares would be reclassified as Class A ordinary shares at a par value of US$0.05 per share; the re-designation to Class A and Class B ordinary shares would be on a one-for-one basis, immediately prior to the completion of this offering; and</w:t>
      </w:r>
    </w:p>
    <w:p>
      <w:pPr>
        <w:spacing w:after="0" w:line="219" w:lineRule="exact"/>
        <w:rPr>
          <w:rFonts w:ascii="Arial" w:cs="Arial" w:eastAsia="Arial" w:hAnsi="Arial"/>
          <w:sz w:val="18"/>
          <w:szCs w:val="18"/>
          <w:color w:val="auto"/>
        </w:rPr>
      </w:pPr>
    </w:p>
    <w:p>
      <w:pPr>
        <w:ind w:left="1960" w:right="120" w:hanging="535"/>
        <w:spacing w:after="0" w:line="293"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re-designation of 21,427,975 pre-offering preferred shares, of which, the 1,571,043 pre-offering Series B preferred shares which were at a par value of US$0.05 per share and beneficially owned by Mr. Larry Lei Wu, our founder, chairman of board of directors and chief executive officer, would be reclassified as Class B ordinary shares, and the remaining portion of 19,856,932 Series A to E preferred shares, which included the 3,999,709 Series E preferred shares classified as mezzanine equity, reclassified as Class A ordinary shares at a par value of US$0.05 per share; the re-designation to Class A and Class B ordinary shares would be on a one-for-one basis, immediately prior to the completion of this offering; and</w:t>
      </w:r>
    </w:p>
    <w:p>
      <w:pPr>
        <w:spacing w:after="0" w:line="191" w:lineRule="exact"/>
        <w:rPr>
          <w:rFonts w:ascii="Arial" w:cs="Arial" w:eastAsia="Arial" w:hAnsi="Arial"/>
          <w:sz w:val="16"/>
          <w:szCs w:val="16"/>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as adjusted basis to reflect: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960" w:right="100" w:hanging="535"/>
        <w:spacing w:after="0" w:line="296" w:lineRule="auto"/>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vest and exercise of 4,515,816 share options upon the completion of this offering, which were registered in the Trust Holdcos and recorded as treasury shares at the par value of US$0.05 per share as of March 31, 2022; assuming such exercise, the related exercise price would be recognized as subscription receivable in the amount of US$226 thousand at the exercise price of US$0.05 per share, the unrecognized share-based compensation expense of US$9,712 thousand as of March 31, 2022 would be recognized and the related treasury shares would be reclassified as Class A ordinary shares upon this offering;</w:t>
      </w:r>
    </w:p>
    <w:p>
      <w:pPr>
        <w:spacing w:after="0" w:line="188" w:lineRule="exact"/>
        <w:rPr>
          <w:rFonts w:ascii="Arial" w:cs="Arial" w:eastAsia="Arial" w:hAnsi="Arial"/>
          <w:sz w:val="16"/>
          <w:szCs w:val="16"/>
          <w:color w:val="auto"/>
        </w:rPr>
      </w:pPr>
    </w:p>
    <w:p>
      <w:pPr>
        <w:ind w:left="1960" w:right="60" w:hanging="535"/>
        <w:spacing w:after="0" w:line="25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vest and exercise of 1,056 share options upon the completion of this offering, which were not registered in the Trust Holdcos nor recorded as treasury shares as of March 31, 2022; no subscription receivable would be recorded for such options, as the exercise price at US$0.05 per share would be trivial for the options in total, the unrecognized share-based compensation expense of US$8 thousand as of March 31, 2022 would be recognized and we would newly issue 1,056 Class A ordinary shares to the option holders upon this offering;</w:t>
      </w:r>
    </w:p>
    <w:p>
      <w:pPr>
        <w:spacing w:after="0" w:line="214" w:lineRule="exact"/>
        <w:rPr>
          <w:rFonts w:ascii="Arial" w:cs="Arial" w:eastAsia="Arial" w:hAnsi="Arial"/>
          <w:sz w:val="18"/>
          <w:szCs w:val="18"/>
          <w:color w:val="auto"/>
        </w:rPr>
      </w:pPr>
    </w:p>
    <w:p>
      <w:pPr>
        <w:ind w:left="1960" w:hanging="535"/>
        <w:spacing w:after="0" w:line="254"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vest and exercise of 120,042 restricted shares which were registered in the Trust Holdcos and recorded as treasury shares at the par value of US$0.05 per share as of March 31, 2022, the prepaid consideration of restricted shares in the amount of US$898 thousand at US$7.48 per share collected by us before March 31, 2022 to be reclassified to equity, with the US$6 thousand recorded as Class A ordinary shares at the par value of US$0.05 per share and the remaining portion of US$892 thousand recorded as additional paid-in capital; the unrecognized share-based compensation expense of US$1.0 thousand as of March 31, 2022 would be recognized and the related treasury shares would be reclassified as Class A ordinary shares upon this offering;</w:t>
      </w:r>
    </w:p>
    <w:p>
      <w:pPr>
        <w:spacing w:after="0" w:line="221" w:lineRule="exact"/>
        <w:rPr>
          <w:rFonts w:ascii="Arial" w:cs="Arial" w:eastAsia="Arial" w:hAnsi="Arial"/>
          <w:sz w:val="18"/>
          <w:szCs w:val="18"/>
          <w:color w:val="auto"/>
        </w:rPr>
      </w:pPr>
    </w:p>
    <w:p>
      <w:pPr>
        <w:ind w:left="1960" w:right="20" w:hanging="535"/>
        <w:spacing w:after="0" w:line="255"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re-designation of 15,875,571 pre-offering ordinary shares, of which, the 7,755,689 pre-offering ordinary shares which were at a par value of US$0.05 per share and beneficially owned by Mr. Larry Lei Wu, our founder, chairman of board of directors and chief executive officer, would be reclassified as Class B ordinary shares, and the remaining portion of 8,119,882 pre-offering ordinary shares would be reclassified as Class A ordinary shares at a par value of US$0.05 per share; the re-designation to Class A and Class B ordinary shares would be on a one-for-one basis, immediately prior to the completion of this offering;</w:t>
      </w:r>
    </w:p>
    <w:p>
      <w:pPr>
        <w:spacing w:after="0" w:line="219" w:lineRule="exact"/>
        <w:rPr>
          <w:rFonts w:ascii="Arial" w:cs="Arial" w:eastAsia="Arial" w:hAnsi="Arial"/>
          <w:sz w:val="18"/>
          <w:szCs w:val="18"/>
          <w:color w:val="auto"/>
        </w:rPr>
      </w:pPr>
    </w:p>
    <w:p>
      <w:pPr>
        <w:ind w:left="1960" w:right="120" w:hanging="535"/>
        <w:spacing w:after="0" w:line="293" w:lineRule="auto"/>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re-designation of 21,427,975 pre-offering preferred shares, of which, the 1,571,043 pre-offering Series B preferred shares which were at a par value of US$0.05 per share and beneficially owned by Mr. Larry Lei Wu, our founder, chairman of board of directors and chief executive officer, would be reclassified as Class B ordinary shares, and the remaining portion of 19,856,932 Series A to E preferred shares, which includes the 3,999,709 Series E preferred shares classified as mezzanine equity, reclassified as Class A ordinary shares at a par value of US$0.05 per share; the re-designation to Class A and Class B ordinary shares would be on a one-for-one basis, immediately prior to the completion of this offering; and</w:t>
      </w:r>
    </w:p>
    <w:p>
      <w:pPr>
        <w:spacing w:after="0" w:line="191" w:lineRule="exact"/>
        <w:rPr>
          <w:rFonts w:ascii="Arial" w:cs="Arial" w:eastAsia="Arial" w:hAnsi="Arial"/>
          <w:sz w:val="16"/>
          <w:szCs w:val="16"/>
          <w:color w:val="auto"/>
        </w:rPr>
      </w:pPr>
    </w:p>
    <w:p>
      <w:pPr>
        <w:ind w:left="1960" w:hanging="535"/>
        <w:spacing w:after="0"/>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issuance and sale by us of 2,940,000 Class A ordinary shares offered in this offering at the initial public offering price of</w:t>
      </w:r>
    </w:p>
    <w:p>
      <w:pPr>
        <w:spacing w:after="0" w:line="46" w:lineRule="exact"/>
        <w:rPr>
          <w:rFonts w:ascii="Arial" w:cs="Arial" w:eastAsia="Arial" w:hAnsi="Arial"/>
          <w:sz w:val="16"/>
          <w:szCs w:val="16"/>
          <w:color w:val="auto"/>
        </w:rPr>
      </w:pPr>
    </w:p>
    <w:p>
      <w:pPr>
        <w:ind w:left="1960"/>
        <w:spacing w:after="0" w:line="253" w:lineRule="auto"/>
        <w:rPr>
          <w:rFonts w:ascii="Arial" w:cs="Arial" w:eastAsia="Arial" w:hAnsi="Arial"/>
          <w:sz w:val="16"/>
          <w:szCs w:val="16"/>
          <w:color w:val="auto"/>
        </w:rPr>
      </w:pPr>
      <w:r>
        <w:rPr>
          <w:rFonts w:ascii="Arial" w:cs="Arial" w:eastAsia="Arial" w:hAnsi="Arial"/>
          <w:sz w:val="18"/>
          <w:szCs w:val="18"/>
          <w:color w:val="auto"/>
        </w:rPr>
        <w:t>$12.25 per Class A ordinary share, after deducting underwriting discounts and commissions and estimated offering expenses in an aggregate amount of $6,359 thousand payable by us, and assuming no exercise by the underwriter of the over-allotment option to purchase additional Class A ordinary shares and no other change to the number of Class A ordinary shares sold by us as set forth on the front cover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You should read this table in conjunction with the information under “Management’s Discussion and Analysis of Financial Condition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Results of Operations” and our consolidated financial statements and the related notes included elsewhere in this prospectus: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2"/>
              </w:rPr>
              <w:t>As of March 31, 2022</w:t>
            </w:r>
          </w:p>
        </w:tc>
        <w:tc>
          <w:tcPr>
            <w:tcW w:w="0" w:type="dxa"/>
            <w:vAlign w:val="bottom"/>
          </w:tcPr>
          <w:p>
            <w:pPr>
              <w:spacing w:after="0"/>
              <w:rPr>
                <w:sz w:val="1"/>
                <w:szCs w:val="1"/>
                <w:color w:val="auto"/>
              </w:rPr>
            </w:pPr>
          </w:p>
        </w:tc>
      </w:tr>
      <w:tr>
        <w:trPr>
          <w:trHeight w:val="119"/>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Actual</w:t>
            </w:r>
          </w:p>
        </w:tc>
        <w:tc>
          <w:tcPr>
            <w:tcW w:w="340" w:type="dxa"/>
            <w:vAlign w:val="bottom"/>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right"/>
              <w:ind w:right="408"/>
              <w:spacing w:after="0"/>
              <w:rPr>
                <w:sz w:val="20"/>
                <w:szCs w:val="20"/>
                <w:color w:val="auto"/>
              </w:rPr>
            </w:pPr>
            <w:r>
              <w:rPr>
                <w:rFonts w:ascii="Arial" w:cs="Arial" w:eastAsia="Arial" w:hAnsi="Arial"/>
                <w:sz w:val="14"/>
                <w:szCs w:val="14"/>
                <w:b w:val="1"/>
                <w:bCs w:val="1"/>
                <w:color w:val="auto"/>
                <w:w w:val="91"/>
              </w:rPr>
              <w:t>Pro Forma</w:t>
            </w:r>
          </w:p>
        </w:tc>
        <w:tc>
          <w:tcPr>
            <w:tcW w:w="9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3"/>
              </w:rPr>
              <w:t>Pro Forma As</w:t>
            </w: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1"/>
              </w:rPr>
              <w:t>in thousands, except</w:t>
            </w:r>
          </w:p>
        </w:tc>
        <w:tc>
          <w:tcPr>
            <w:tcW w:w="142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for share data)</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borrowing</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Long-term borrowing, current portion</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rPr>
              <w:t>327</w:t>
            </w:r>
          </w:p>
        </w:tc>
        <w:tc>
          <w:tcPr>
            <w:tcW w:w="1300" w:type="dxa"/>
            <w:vAlign w:val="bottom"/>
            <w:gridSpan w:val="3"/>
          </w:tcPr>
          <w:p>
            <w:pPr>
              <w:jc w:val="right"/>
              <w:ind w:right="408"/>
              <w:spacing w:after="0"/>
              <w:rPr>
                <w:sz w:val="20"/>
                <w:szCs w:val="20"/>
                <w:color w:val="auto"/>
              </w:rPr>
            </w:pPr>
            <w:r>
              <w:rPr>
                <w:rFonts w:ascii="Arial" w:cs="Arial" w:eastAsia="Arial" w:hAnsi="Arial"/>
                <w:sz w:val="18"/>
                <w:szCs w:val="18"/>
                <w:color w:val="auto"/>
              </w:rPr>
              <w:t>327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143</w:t>
            </w:r>
          </w:p>
        </w:tc>
        <w:tc>
          <w:tcPr>
            <w:tcW w:w="1300" w:type="dxa"/>
            <w:vAlign w:val="bottom"/>
            <w:tcBorders>
              <w:right w:val="single" w:sz="8" w:color="CCEEFF"/>
            </w:tcBorders>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Total borrowings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4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Preferred Shares ($0.05 par value per share, 3,999,709 shares authorized, issued and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w w:val="97"/>
              </w:rPr>
              <w:t>outstanding as of March 31, 2022, nil shares authorized, issued and outstanding on a pro forma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rPr>
              <w:t>basis and on a pro forma as adjusted basis; Redemption value of $27,022 thousand as of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March 31, 2022; Liquidation preference of $25,000 thousand as of March 31, 2022)</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w w:val="98"/>
              </w:rPr>
              <w:t>27,022</w:t>
            </w:r>
          </w:p>
        </w:tc>
        <w:tc>
          <w:tcPr>
            <w:tcW w:w="160" w:type="dxa"/>
            <w:vAlign w:val="bottom"/>
          </w:tcPr>
          <w:p>
            <w:pPr>
              <w:spacing w:after="0"/>
              <w:rPr>
                <w:sz w:val="20"/>
                <w:szCs w:val="20"/>
                <w:color w:val="auto"/>
              </w:rPr>
            </w:pPr>
          </w:p>
        </w:tc>
        <w:tc>
          <w:tcPr>
            <w:tcW w:w="11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b w:val="1"/>
                <w:bCs w:val="1"/>
                <w:color w:val="auto"/>
                <w:w w:val="98"/>
              </w:rPr>
              <w:t>27,022</w:t>
            </w: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($0.05 par value per share, 38,572,025 shares authorized; 15,875,571 shares issued</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and outstanding as of March 31, 2022, nil shares authorized, issued and outstanding on a pro</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forma basis and on a pro forma as adjusted basis)</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w w:val="94"/>
              </w:rPr>
              <w:t>Treasury shares, at cost (4,765,903 shares held as of March 31, 2022 and 130,045 shares held on a</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line="230" w:lineRule="exact"/>
              <w:rPr>
                <w:sz w:val="20"/>
                <w:szCs w:val="20"/>
                <w:color w:val="auto"/>
              </w:rPr>
            </w:pPr>
            <w:r>
              <w:rPr>
                <w:rFonts w:ascii="Arial" w:cs="Arial" w:eastAsia="Arial" w:hAnsi="Arial"/>
                <w:sz w:val="18"/>
                <w:szCs w:val="18"/>
                <w:color w:val="auto"/>
              </w:rPr>
              <w:t>pro forma basis and on a pro forma as adjusted basis)</w:t>
            </w:r>
            <w:r>
              <w:rPr>
                <w:rFonts w:ascii="Arial" w:cs="Arial" w:eastAsia="Arial" w:hAnsi="Arial"/>
                <w:sz w:val="26"/>
                <w:szCs w:val="26"/>
                <w:color w:val="auto"/>
                <w:vertAlign w:val="superscript"/>
              </w:rPr>
              <w:t>(1)</w:t>
            </w:r>
          </w:p>
        </w:tc>
        <w:tc>
          <w:tcPr>
            <w:tcW w:w="840" w:type="dxa"/>
            <w:vAlign w:val="bottom"/>
            <w:gridSpan w:val="3"/>
          </w:tcPr>
          <w:p>
            <w:pPr>
              <w:jc w:val="right"/>
              <w:ind w:right="148"/>
              <w:spacing w:after="0"/>
              <w:rPr>
                <w:sz w:val="20"/>
                <w:szCs w:val="20"/>
                <w:color w:val="auto"/>
              </w:rPr>
            </w:pPr>
            <w:r>
              <w:rPr>
                <w:rFonts w:ascii="Arial" w:cs="Arial" w:eastAsia="Arial" w:hAnsi="Arial"/>
                <w:sz w:val="18"/>
                <w:szCs w:val="18"/>
                <w:color w:val="auto"/>
              </w:rPr>
              <w:t>(238)</w:t>
            </w:r>
          </w:p>
        </w:tc>
        <w:tc>
          <w:tcPr>
            <w:tcW w:w="1300" w:type="dxa"/>
            <w:vAlign w:val="bottom"/>
            <w:gridSpan w:val="3"/>
          </w:tcPr>
          <w:p>
            <w:pPr>
              <w:jc w:val="right"/>
              <w:ind w:right="348"/>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receivable from ordinary shares</w:t>
            </w:r>
          </w:p>
        </w:tc>
        <w:tc>
          <w:tcPr>
            <w:tcW w:w="8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(81)</w:t>
            </w:r>
          </w:p>
        </w:tc>
        <w:tc>
          <w:tcPr>
            <w:tcW w:w="1300" w:type="dxa"/>
            <w:vAlign w:val="bottom"/>
            <w:tcBorders>
              <w:right w:val="single" w:sz="8" w:color="CCEEFF"/>
            </w:tcBorders>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Series A Preferred Shares ($0.05 par value per share, 134,190 shares authorized, issued and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w w:val="97"/>
              </w:rPr>
              <w:t>outstanding as of March 31, 2022, nil shares authorized, issued and outstanding on a pro forma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w w:val="95"/>
              </w:rPr>
              <w:t>basis and on a pro forma as adjusted basis; Liquidation value of $6,710 thousand as of March 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2022)</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1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Preferred Shares ($0.05 par value per share, 9,991,588 shares authorized, issued and</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outstanding as of March 31, 2022, nil shares authorized, issued and outstanding on a pro forma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basis and on a pro forma as adjusted basis; Liquidation value of $5,000 thousand as of March 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2022)</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C Preferred Shares ($0.05 par value per share, 4,358,702 shares authorized, issued and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w w:val="97"/>
              </w:rPr>
              <w:t>outstanding as of March 31, 2022, nil shares authorized, issued and outstanding on a pro forma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basis and on a pro forma as adjusted basis)</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11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D Preferred Shares ($0.05 par value per share, 2,943,786 shares authorized, issued and</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outstanding as of March 31, 2022, nil shares authorized, issued and outstanding on a pro forma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basis and on a pro forma as adjusted basis; Liquidation value of $8,053 thousand as of March 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2022)</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w w:val="92"/>
              </w:rPr>
              <w:t>Class A ordinary shares ($0.05 par value per share, 50,673,268 shares authorized, 27,977,870 shares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w w:val="95"/>
              </w:rPr>
              <w:t>issued and outstanding on a pro forma basis and 30,917,870 shares issued and outstanding on 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pro forma as adjusted basis)</w:t>
            </w:r>
          </w:p>
        </w:tc>
        <w:tc>
          <w:tcPr>
            <w:tcW w:w="80" w:type="dxa"/>
            <w:vAlign w:val="bottom"/>
          </w:tcPr>
          <w:p>
            <w:pPr>
              <w:spacing w:after="0"/>
              <w:rPr>
                <w:sz w:val="20"/>
                <w:szCs w:val="20"/>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08"/>
              <w:spacing w:after="0"/>
              <w:rPr>
                <w:sz w:val="20"/>
                <w:szCs w:val="20"/>
                <w:color w:val="auto"/>
              </w:rPr>
            </w:pPr>
            <w:r>
              <w:rPr>
                <w:rFonts w:ascii="Arial" w:cs="Arial" w:eastAsia="Arial" w:hAnsi="Arial"/>
                <w:sz w:val="18"/>
                <w:szCs w:val="18"/>
                <w:color w:val="auto"/>
              </w:rPr>
              <w:t>1,400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365"/>
        </w:trPr>
        <w:tc>
          <w:tcPr>
            <w:tcW w:w="7940" w:type="dxa"/>
            <w:vAlign w:val="bottom"/>
          </w:tcPr>
          <w:p>
            <w:pPr>
              <w:ind w:left="53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w w:val="95"/>
              </w:rPr>
              <w:t>As of March 31, 2022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060" w:type="dxa"/>
            <w:vAlign w:val="bottom"/>
          </w:tcPr>
          <w:p>
            <w:pPr>
              <w:spacing w:after="0"/>
              <w:rPr>
                <w:sz w:val="10"/>
                <w:szCs w:val="10"/>
                <w:color w:val="auto"/>
              </w:rPr>
            </w:pPr>
          </w:p>
        </w:tc>
        <w:tc>
          <w:tcPr>
            <w:tcW w:w="74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Pro Forma</w:t>
            </w:r>
          </w:p>
        </w:tc>
        <w:tc>
          <w:tcPr>
            <w:tcW w:w="9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1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89"/>
              </w:rPr>
              <w:t>thousands, except</w:t>
            </w:r>
          </w:p>
        </w:tc>
        <w:tc>
          <w:tcPr>
            <w:tcW w:w="130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for share data)</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Class B ordinary shares ($0.05 par value per share, 9,326,732 shares authorized, issued and outstanding</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on a pro forma basis and issued and outstanding on a pro forma as adjusted basis)</w:t>
            </w:r>
          </w:p>
        </w:tc>
        <w:tc>
          <w:tcPr>
            <w:tcW w:w="1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466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740" w:type="dxa"/>
            <w:vAlign w:val="bottom"/>
            <w:gridSpan w:val="5"/>
          </w:tcPr>
          <w:p>
            <w:pPr>
              <w:jc w:val="right"/>
              <w:ind w:right="80"/>
              <w:spacing w:after="0"/>
              <w:rPr>
                <w:sz w:val="20"/>
                <w:szCs w:val="20"/>
                <w:color w:val="auto"/>
              </w:rPr>
            </w:pPr>
            <w:r>
              <w:rPr>
                <w:rFonts w:ascii="Arial" w:cs="Arial" w:eastAsia="Arial" w:hAnsi="Arial"/>
                <w:sz w:val="18"/>
                <w:szCs w:val="18"/>
                <w:color w:val="auto"/>
              </w:rPr>
              <w:t>37,638</w:t>
            </w:r>
          </w:p>
        </w:tc>
        <w:tc>
          <w:tcPr>
            <w:tcW w:w="1240" w:type="dxa"/>
            <w:vAlign w:val="bottom"/>
            <w:gridSpan w:val="4"/>
          </w:tcPr>
          <w:p>
            <w:pPr>
              <w:jc w:val="right"/>
              <w:ind w:right="248"/>
              <w:spacing w:after="0"/>
              <w:rPr>
                <w:sz w:val="20"/>
                <w:szCs w:val="20"/>
                <w:color w:val="auto"/>
              </w:rPr>
            </w:pPr>
            <w:r>
              <w:rPr>
                <w:rFonts w:ascii="Arial" w:cs="Arial" w:eastAsia="Arial" w:hAnsi="Arial"/>
                <w:sz w:val="18"/>
                <w:szCs w:val="18"/>
                <w:color w:val="auto"/>
              </w:rPr>
              <w:t>75,073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104,582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12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(234)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64,928</w:t>
            </w:r>
          </w:p>
        </w:tc>
        <w:tc>
          <w:tcPr>
            <w:tcW w:w="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55,207</w:t>
            </w:r>
          </w:p>
        </w:tc>
        <w:tc>
          <w:tcPr>
            <w:tcW w:w="3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55,207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103,679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131,599</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161,255</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131,171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132,069</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161,725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64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Assuming 4,635,858 shares issued to Trust Holdcos at a par value of US$0.05 per share to be converted into Class A ordinary shares upon completion of this offering on a pro forma basis and on a pro forma as adjusted basis.</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discussion and table above assume no exercise of the underwriter’s warrants which we will issue to the underwriter upon completion of this offering. See “Underwriting—Underwriter Warrants” for details of the underwriter’s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260" w:firstLine="881"/>
        <w:spacing w:after="0" w:line="259" w:lineRule="auto"/>
        <w:rPr>
          <w:sz w:val="20"/>
          <w:szCs w:val="20"/>
          <w:color w:val="auto"/>
        </w:rPr>
      </w:pPr>
      <w:r>
        <w:rPr>
          <w:rFonts w:ascii="Arial" w:cs="Arial" w:eastAsia="Arial" w:hAnsi="Arial"/>
          <w:sz w:val="18"/>
          <w:szCs w:val="18"/>
          <w:color w:val="auto"/>
        </w:rPr>
        <w:t>If you invest in our Class A ordinary shares, your interest will be diluted to the extent of the difference between the initial public offering price per ordinary share and our net tangible book value per ordinary share after this offering. Dilution results because the initial public offering price per ordinary share is substantially in excess of the book value per ordinary share attributable to the existing shareholders for our presently issued and outstanding ordinary shares.</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Net tangible book value represents the amount of our total consolidated tangible assets, which represent the amount of our total consolidated assets, excluding consolidated intangible assets, if any, less total consolidated liabilities. Net tangible book value per ordinary share represents the net tangible book value divided by the aggregate number of issued and outstanding ordinary shares of 15,875,571 as of March 31, 2022. Our net tangible book value as of March 31, 2022 was approximately $130.7 million, or $8.23 per ordinary share.</w:t>
      </w:r>
    </w:p>
    <w:p>
      <w:pPr>
        <w:spacing w:after="0" w:line="17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Dilution is determined by subtracting net tangible book value per ordinary share from the initial public offering price of $12.25 per Class A ordinary share, after giving effect to the proceeds we will receive from this offering and after deducting underwriting discounts and commissions and estimated offering expenses payable by us, as well as certain pro forma adjustments as described in the table below.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7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Without taking into account any other changes in net tangible book value after March 31, 2022, other than to give effect to our sale of our Class A ordinary shares offered in this offering at the initial public offering price of $12.25 per Class A ordinary share, after deducting the underwriting discounts and commissions and estimated offering expenses payable by us and assuming no exercise by the underwriter of the over-allotment option to purchase additional Class A ordinary shares, our pro forma as adjusted net tangible book value as of March 31, 2022 would have been $161.3 million, or $4.01 per ordinary share.</w:t>
      </w:r>
    </w:p>
    <w:p>
      <w:pPr>
        <w:spacing w:after="0" w:line="188"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This represents an immediate increase in net tangible book value of $0.48 per ordinary share to the existing shareholders and an immediate dilution in net tangible book value of $8.24 per ordinary share to investors purchasing our Class A ordinary shares in this offering. The following table illustrates such dilution: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Per ordinary</w:t>
            </w:r>
          </w:p>
        </w:tc>
      </w:tr>
      <w:tr>
        <w:trPr>
          <w:trHeight w:val="171"/>
        </w:trPr>
        <w:tc>
          <w:tcPr>
            <w:tcW w:w="9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Net tangible book value as of March 31, 2022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r>
      <w:tr>
        <w:trPr>
          <w:trHeight w:val="202"/>
        </w:trPr>
        <w:tc>
          <w:tcPr>
            <w:tcW w:w="9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net tangible book value after giving effect to (i) the vest and exercise of our share options and restricted shares recorded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 the Trust Holdcos to be reclassified from treasury shares into Class A ordinary shares on a one-for-one basis upon completion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of this offering, (ii) the vest and exercise of 1,056 of share options not recorded in the Trust Holdcos to be newly issued as Class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 ordinary shares on a one-for-one basis upon completion of this offering and (iii) the automatic conversion and re-designation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of all of our issued and outstanding pre-offering ordinary shares and preferred shares as of March 31, 2022 into Class A or Class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8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B ordinary shares on a one-for-one basis immediately prior to the completion of this offering</w:t>
            </w:r>
            <w:r>
              <w:rPr>
                <w:rFonts w:ascii="Arial" w:cs="Arial" w:eastAsia="Arial" w:hAnsi="Arial"/>
                <w:sz w:val="26"/>
                <w:szCs w:val="26"/>
                <w:color w:val="auto"/>
                <w:vertAlign w:val="superscript"/>
              </w:rPr>
              <w:t>(1)</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365"/>
        </w:trPr>
        <w:tc>
          <w:tcPr>
            <w:tcW w:w="9800" w:type="dxa"/>
            <w:vAlign w:val="bottom"/>
          </w:tcPr>
          <w:p>
            <w:pPr>
              <w:ind w:left="5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Per ordinary</w:t>
            </w:r>
          </w:p>
        </w:tc>
      </w:tr>
      <w:tr>
        <w:trPr>
          <w:trHeight w:val="171"/>
        </w:trPr>
        <w:tc>
          <w:tcPr>
            <w:tcW w:w="9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w:t>
            </w:r>
          </w:p>
        </w:tc>
      </w:tr>
      <w:tr>
        <w:trPr>
          <w:trHeight w:val="195"/>
        </w:trPr>
        <w:tc>
          <w:tcPr>
            <w:tcW w:w="9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as adjusted net tangible book value after giving effect to (i) the vest and exercise of our share options and restricted</w:t>
            </w: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recorded in the Trust Holdcos to be reclassified from treasury shares into Class A ordinary shares on a one-for-one basis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upon completion of this offering, (ii) the vest and exercise of 1,056 of share options not recorded in the Trust Holdcos to be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newly issued as Class A ordinary shares on a one-for-one basis upon completion of this offering, (iii) the automatic conversion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and re-designation of all of our issued and outstanding pre-offering ordinary shares and preferred shares as of March 31, 2022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into Class A or Class B ordinary shares on a one-for-one basis immediately prior to the completion of this offering and (iv) this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offering</w:t>
            </w:r>
            <w:r>
              <w:rPr>
                <w:rFonts w:ascii="Arial" w:cs="Arial" w:eastAsia="Arial" w:hAnsi="Arial"/>
                <w:sz w:val="26"/>
                <w:szCs w:val="26"/>
                <w:color w:val="auto"/>
                <w:vertAlign w:val="superscript"/>
              </w:rPr>
              <w:t>(1)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See “Capitalization” for an explanation of the pro forma adjustments.</w:t>
      </w:r>
    </w:p>
    <w:p>
      <w:pPr>
        <w:spacing w:after="0" w:line="225" w:lineRule="exact"/>
        <w:rPr>
          <w:sz w:val="20"/>
          <w:szCs w:val="20"/>
          <w:color w:val="auto"/>
        </w:rPr>
      </w:pPr>
    </w:p>
    <w:p>
      <w:pPr>
        <w:jc w:val="both"/>
        <w:ind w:left="120" w:right="20" w:firstLine="881"/>
        <w:spacing w:after="0" w:line="301" w:lineRule="auto"/>
        <w:rPr>
          <w:sz w:val="20"/>
          <w:szCs w:val="20"/>
          <w:color w:val="auto"/>
        </w:rPr>
      </w:pPr>
      <w:r>
        <w:rPr>
          <w:rFonts w:ascii="Arial" w:cs="Arial" w:eastAsia="Arial" w:hAnsi="Arial"/>
          <w:sz w:val="16"/>
          <w:szCs w:val="16"/>
          <w:color w:val="auto"/>
        </w:rPr>
        <w:t>The following table summarizes, on a pro forma as adjusted basis as of March 31, 2022, the differences between existing shareholders and the new investors with respect to the number of ordinary shares purchased from us, the total consideration paid and the average price per ordinary share paid before deducting underwriting discounts and commissions and estimated offering expenses payable by us. The total number of ordinary shares does not include the Class A ordinary shares issuable upon the exercise of the over-allotment option granted to the underwriter.</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Ordinary Shares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Total Consideration</w:t>
            </w:r>
          </w:p>
        </w:tc>
        <w:tc>
          <w:tcPr>
            <w:tcW w:w="240" w:type="dxa"/>
            <w:vAlign w:val="bottom"/>
            <w:gridSpan w:val="2"/>
            <w:vMerge w:val="restart"/>
          </w:tcPr>
          <w:p>
            <w:pPr>
              <w:spacing w:after="0"/>
              <w:rPr>
                <w:sz w:val="14"/>
                <w:szCs w:val="14"/>
                <w:color w:val="auto"/>
              </w:rPr>
            </w:pPr>
          </w:p>
        </w:tc>
        <w:tc>
          <w:tcPr>
            <w:tcW w:w="132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Purchased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19"/>
        </w:trPr>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gridSpan w:val="2"/>
            <w:vMerge w:val="restart"/>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Amount in</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Ordinary</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400" w:type="dxa"/>
            <w:vAlign w:val="bottom"/>
            <w:gridSpan w:val="2"/>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422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Existing shareholders</w:t>
            </w:r>
            <w:r>
              <w:rPr>
                <w:rFonts w:ascii="Arial" w:cs="Arial" w:eastAsia="Arial" w:hAnsi="Arial"/>
                <w:sz w:val="24"/>
                <w:szCs w:val="24"/>
                <w:color w:val="auto"/>
                <w:vertAlign w:val="superscript"/>
              </w:rPr>
              <w:t>(1)</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37,304,602</w:t>
            </w:r>
          </w:p>
        </w:tc>
        <w:tc>
          <w:tcPr>
            <w:tcW w:w="4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2,940,000</w:t>
            </w:r>
          </w:p>
        </w:tc>
        <w:tc>
          <w:tcPr>
            <w:tcW w:w="4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36,015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31.9%</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40,244,602</w:t>
            </w:r>
          </w:p>
        </w:tc>
        <w:tc>
          <w:tcPr>
            <w:tcW w:w="4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112,954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100.0%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6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Assumes the vest and exercise of 1,056 share options upon the completion of this offering, which were not registered in the Trust Holdcos nor recorded as treasury shares as of March 31, 2022, and the inclusion of 1,056 shares issued therefor.</w:t>
      </w:r>
    </w:p>
    <w:p>
      <w:pPr>
        <w:spacing w:after="0" w:line="170"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discussion and tables above assume no exercise of the underwriter’s warrants which we will issue to the underwriter upon completion of this offering. See “Underwriting—Underwriter Warrants” for details of the underwriter’s warrants. To the extent that any of these underwriter’s warrants are exercised, there will be further dilution to new investors.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We are incorporated under the laws of the Cayman Islands to take advantage of certain benefits associated with being a Cayman Islands exempted company with limited liability:</w:t>
      </w:r>
    </w:p>
    <w:p>
      <w:pPr>
        <w:spacing w:after="0" w:line="197"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w:t>
      </w:r>
    </w:p>
    <w:p>
      <w:pPr>
        <w:spacing w:after="0" w:line="238" w:lineRule="exact"/>
        <w:rPr>
          <w:sz w:val="20"/>
          <w:szCs w:val="20"/>
          <w:color w:val="auto"/>
        </w:rPr>
      </w:pPr>
    </w:p>
    <w:p>
      <w:pPr>
        <w:ind w:left="1420" w:right="38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Cayman Islands has a less exhaustive body of securities laws than the U.S. and these securities laws provide significantly less protection to investors;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U.S., between us, our officers, directors and shareholders, be arbitrated.</w:t>
      </w:r>
    </w:p>
    <w:p>
      <w:pPr>
        <w:spacing w:after="0" w:line="170"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of our directors and executive officers are nationals or residents of jurisdictions other than the U.S. and a majority of their assets are located outside the U.S. As a result, it may be difficult or impossible for a shareholder to effect service of process within the U.S. upon us or these persons, or to enforce against us or them judgments obtained in U.S. courts, including judgments predicated upon the civil liability provisions of the securities laws of the U.S. or any state in the U.S.</w:t>
      </w:r>
    </w:p>
    <w:p>
      <w:pPr>
        <w:spacing w:after="0" w:line="187"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We have appointed Cogency Global Inc. located at 122 East 42nd Street, 18th Floor, New York, NY 10168, as our agent upon whom process may be served in any action brought against us under the securities laws of the 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229"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Maples and Calder (Hong Kong) LLP, our counsel as to Cayman Islands law, and Han Kun Law Offices, our counsel as to PRC law, have advised us, respectively, that there is uncertainty as to whether the courts in the Cayman Islands and the PRC, respectively, would:</w:t>
      </w:r>
    </w:p>
    <w:p>
      <w:pPr>
        <w:spacing w:after="0" w:line="173" w:lineRule="exact"/>
        <w:rPr>
          <w:sz w:val="20"/>
          <w:szCs w:val="20"/>
          <w:color w:val="auto"/>
        </w:rPr>
      </w:pPr>
    </w:p>
    <w:p>
      <w:pPr>
        <w:ind w:left="14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to impose liabilities against us predicated upon the civil liability provisions of the securities laws of the U.S. or any state in the U.S.; or</w:t>
      </w:r>
    </w:p>
    <w:p>
      <w:pPr>
        <w:spacing w:after="0" w:line="197"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federal securities laws of the U.S. or the securities laws of any state in the U.S.</w:t>
      </w:r>
    </w:p>
    <w:p>
      <w:pPr>
        <w:spacing w:after="0" w:line="170"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Maples and Calder (Hong Kong) LLP, our counsel as to Cayman Islands laws, has further advised us that although there is no statutory enforcement in the Cayman Islands of judgements obtained in the federal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state courts of the U.S. (and the Cayman Islands are not a party to any treaties for the reciprocal enforcement or recognition of such judgements),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Mainland China</w:t>
      </w:r>
    </w:p>
    <w:p>
      <w:pPr>
        <w:spacing w:after="0" w:line="229"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color w:val="auto"/>
        </w:rPr>
        <w:t>Han Kun Law Offices, our counsel as to PRC law, has further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PRC does not have any treaties or other agreements with the U.S.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However, it will be difficult for foreign shareholders to establish sufficient nexus to the PRC by virtue only of holding our ordinary shares.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Judgment of the U.S. courts will not be directly enforced in Hong Kong. There are currently no treaties or other arrangements providing for reciprocal enforcement of foreign judgments between Hong Kong and the U.S.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On August 29, 2006, we incorporated Oriental Standard Human Resources Holdings Limited, our holding company, as a limited liability company in the Cayman Islands. We began our ecommerce business in Japan in 2010 through our wholly-owned subsidiary, Oriental Standard Japan Co., Ltd. We expanded to the U.K. in 2013 through our consolidated VIE, B.T.M TRAVEL AND TRADING LTD, and further expanded to the U.S. through our acquisition of COMPTREE INC. in 2014. COMPTREE INC. was renamed as GIGACLOUD TECHNOLOGY (USA) INC. in July 2021. In January 2019, we launched our ecommerce platform, GigaCloud Marketplace, through our Hong Kong Subsidiary, GigaCloud Technology (HongKong) Limited (formerly known as Giga Cloud Logistics (Hong Kong) Limited). As our marketplace and our ecommerce business continue to grow, we believe it is important to have a name for our holding company that is more representative of our businesses. Effective February 28, 2021, our holding company’s name is changed from Oriental Standard Human Resources Holdings Limited to GigaCloud Technology Inc.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GigaCloud Technology Inc is a holding company incorporated in the Cayman Islands that does not have substantive operations and not a direct Chinese or Hong Kong operating company. As of the date of this prospectus, we conduct our business operations across 13 subsidiaries and seven consolidated VIEs, among those, eight of which are our principal subsidiaries and four of which are our principal consolidated VIEs. We also have two equity incentive trusts which are treated as consolidated VIEs under U.S. GAAP. See “Management—Share Incentive Plans—Equity Incentive Trusts.” All of our consolidated VIEs contributed an aggregate of 14.2%, 8.4%, 10.7% and 9.6% to our total assets as of December 31, 2019, 2020 and 2021 and March 31, 2022, respectively. All of our consolidated VIEs contributed an aggregate of 13.6%, 12.9%, 11.5%, 10.3% and 12.0% to our revenues in 2019, 2020 and 2021 and the three months ended March 31, 2021 and 2022, respectively. See “—Contractual Arrangements with Our Consolidated VIEs and their Shareholders.”</w:t>
      </w:r>
    </w:p>
    <w:p>
      <w:pPr>
        <w:spacing w:after="0" w:line="178"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As of the date of this prospectus, our principal subsidiaries and principal consolidated VIEs consist of the following entities (in alphabetical order based on the jurisdiction and in chronological order within the jurisdiction based on their dates of incorporation):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252" w:lineRule="exact"/>
        <w:rPr>
          <w:sz w:val="20"/>
          <w:szCs w:val="20"/>
          <w:color w:val="auto"/>
        </w:rPr>
      </w:pPr>
    </w:p>
    <w:p>
      <w:pPr>
        <w:ind w:left="1420" w:right="42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Comptree International, our wholly-owned subsidiary organized under the laws of Cayman Islands in April 2010, principally for holding Tmall, Inc. through GIGACLOUD TECHNOLOGY (USA) INC.;</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Mainland China</w:t>
      </w:r>
    </w:p>
    <w:p>
      <w:pPr>
        <w:spacing w:after="0" w:line="252" w:lineRule="exact"/>
        <w:rPr>
          <w:sz w:val="20"/>
          <w:szCs w:val="20"/>
          <w:color w:val="auto"/>
        </w:rPr>
      </w:pPr>
    </w:p>
    <w:p>
      <w:pPr>
        <w:ind w:left="1420" w:right="24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GigaCloud Technology (Suzhou) Co., Ltd. (formerly known as Oriental Standard Network Technology (Suzhou) Co., Ltd.), our wholly-owned subsidiary organized under the laws of the PRC in July 2013, principally for procurement and providing inter-group services to the group companies;</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Suzhou Dajianyun Transport Co., Ltd., or Suzhou GigaCloud, our indirect wholly-owned subsidiary organized under the laws of the PRC in September 2017, principally for providing inter-group services to the group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252" w:lineRule="exact"/>
        <w:rPr>
          <w:sz w:val="20"/>
          <w:szCs w:val="20"/>
          <w:color w:val="auto"/>
        </w:rPr>
      </w:pPr>
    </w:p>
    <w:p>
      <w:pPr>
        <w:ind w:left="1420" w:right="260" w:hanging="319"/>
        <w:spacing w:after="0" w:line="342"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GigaCloud Technology (HongKong) Limited (formerly known as Giga Cloud Logistics (Hong Kong) Limited), our wholly-owned subsidiary organized under the laws of Hong Kong in March 2019, principally for operating our B2B GigaCloud Marketplace;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252" w:lineRule="exact"/>
        <w:rPr>
          <w:sz w:val="20"/>
          <w:szCs w:val="20"/>
          <w:color w:val="auto"/>
        </w:rPr>
      </w:pPr>
    </w:p>
    <w:p>
      <w:pPr>
        <w:ind w:left="1420" w:right="8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Oriental Standard Japan Co., Ltd., our wholly-owned subsidiary organized under the laws of Japan in August 2006, principally for operating our ecommerce solutions;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BTM Co., Ltd., our wholly-owned subsidiary organized under the laws of Japan in September 2014, principally for operating our ecommerce solutions;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52" w:lineRule="exact"/>
        <w:rPr>
          <w:sz w:val="20"/>
          <w:szCs w:val="20"/>
          <w:color w:val="auto"/>
        </w:rPr>
      </w:pPr>
    </w:p>
    <w:p>
      <w:pPr>
        <w:ind w:left="1420" w:right="46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B.T.M TRAVEL AND TRADING LTD, our consolidated VIE organized under the laws of England and Wales in April 2013, principally for operating our warehouse logistics services and ecommerce service;</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COMHARBOR LIMITED, our consolidated VIE organized under the laws of England and Wales in October 2017, principally for operating our ecommerce service;</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BRIHOME LIMITED, or our consolidated VIE organized under the laws of England and Wales in October 2017, principally for operating our ecommerce service;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w:t>
      </w:r>
    </w:p>
    <w:p>
      <w:pPr>
        <w:spacing w:after="0" w:line="252" w:lineRule="exact"/>
        <w:rPr>
          <w:sz w:val="20"/>
          <w:szCs w:val="20"/>
          <w:color w:val="auto"/>
        </w:rPr>
      </w:pPr>
    </w:p>
    <w:p>
      <w:pPr>
        <w:ind w:left="1420" w:right="6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GIGACLOUD TECHNOLOGY (USA) INC. (formerly known as COMPTREE INC.), our indirect wholly-owned subsidiary organized under the laws of State of California, the U.S., in March 1994, principally for operating our warehouse logistics services and ecommerce service;</w:t>
      </w:r>
    </w:p>
    <w:p>
      <w:pPr>
        <w:spacing w:after="0" w:line="210"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Tmall, Inc., our indirect wholly-owned subsidiary organized under the laws of State of California, the U.S., in January 2012, principally for operating our ecommerce service;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GIGA CLOUD LOGISTICS INC, our consolidated VIE organized under the laws of State of Nevada, the U.S., in September 2017, principally for operating our logistics services for third-parties.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0"/>
          </w:cols>
          <w:pgMar w:left="320" w:top="459" w:right="6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chart below shows our corporate structure and identifies our principal subsidiaries and principal consolidated VIEs described above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5949315" cy="3729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49315" cy="372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GIGA CLOUD LOGISTICS INC, our principal consolidated VIE, is wholly owned by Mr. Kunming Xu, our employee.</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B.T.M TRAVEL AND TRADING LTD, our principal consolidated VIE, is wholly owned by Mr. Wenbo Dou, our employee.</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COMHARBOR LIMITED, our principal consolidated VIE, is wholly owned by Mr. Wenjun Chang, our employee.</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BRIHOME LIMITED, our principal consolidated VIE, is wholly owned by Mr. Yaoxuan Wang, our employee.</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Consolidated VIEs and their Shareholders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2013, 2017 and 2018, GigaCloud Technology Inc (formerly known as Oriental Standard Human Resources Holdings Limited), our holding company and an exempted company with limited liability incorporated in the Cayman Islands, entered into a series of control agreements with our consolidated VIEs and their respective shareholders, including our four principal consolidated VIEs established and operating in the U.S. and the U.K., namely GIGA CLOUD LOGISTICS INC, B.T.M TRAVEL AND TRADING LTD, COMHARBOR LIMITED and BRIHOME LIMITED. We entered into contractual arrangements with our principal consolidated VIEs because we needed to expeditiously set up our business in overseas market with minimized administrative constraints to capture market opportunities. In certain instances, the contractual arrangements provided us with potentially the flexibility to conduct business activities that could be subjected to restrictions on foreign investment. For example, the PRC government had imposed foreign ownership restriction and the licensing and permit requirements for companies in the industry of telecommunications service, and we had a consolidated VIE set up initially in mainland China from 2018 to 2020. To our knowledge, our subsidiaries and consolidated VIEs are not conducting business activities that are subject to restrictions on foreign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320" w:top="459" w:right="5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investment. We launched our GigaCloud Marketplace under our Hong Kong Subsidiary, GigaCloud Technology (HongKong) Limited (formerly known as Giga Cloud Logistics (Hong Kong) Limited) in 2019. As our business scale in the overseas markets continued to grow and in anticipation of this offering, we began to restructure our non-principal VIEs into wholly-owned subsidiaries. From 2018 to 2020, we had one consolidated VIE in mainland China, namely Suzhou GigaCloud, and in February 2021, we entered into a termination agreement with Suzhou GigaCloud to terminate the control agreement with respect to Suzhou GigaCloud, and in February 2021, GigaCloud Technology (Suzhou) Co., Ltd. (formerly known as Oriental Standard Network Technology (Suzhou) Co., Ltd.) acquired 100% of the equity interest in Suzhou GigaCloud which then became our indirect wholly-owned subsidiary in mainland China and we do not currently have any VIE in mainland China. We intend to continue our corporate restructuring. To the extent permissible by applicable laws and without the potential for disruptions to our operations, we will obtain direct ownership in all of the VIEs that are currently effective and we intend to complete our corporate restructuring within 12 months after the completion of this offering. As of the date of this prospectus, seven of these control agreements, including four control agreements related to our four principal consolidated VIEs, are still effective. The shareholders of the four principal consolidated VIEs are our trusted long-term employees. As of the date of this prospectus, with respect to our four principal consolidated VIEs, Mr. Kunming Xu is the sole shareholder of GIGA CLOUD LOGISTICS INC., Mr. Wenbo Dou is the sole shareholder of B.T.M TRAVEL AND TRADING LTD, Mr. Wenjun Chang is the sole shareholder of COMHARBOR LIMITED and Mr. Yaoxuan Wang is the sole shareholder of BRIHOME LIMITED.</w:t>
      </w:r>
    </w:p>
    <w:p>
      <w:pPr>
        <w:spacing w:after="0" w:line="18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entered into control agreements with each of these consolidated VIEs and their respective shareholders, through which we are able to consolidate the financial results of these entities. The equity interests of the consolidated VIEs are legally held by their shareholders. Through the control agreements, including the relevant provisions on powers of attorney and exclusive option to purchase all or part of the equity interests in our consolidated VIEs, the shareholders of our consolidated VIEs have granted GigaCloud Technology Inc all their legal rights including voting rights and disposition rights of their equity interests in our consolidated VIEs. The shareholders of our consolidated VIEs do not participate significantly in income and loss and do not have the power to direct the activities of our consolidated VIEs that most significantly impact their economic performance.</w:t>
      </w:r>
    </w:p>
    <w:p>
      <w:pPr>
        <w:spacing w:after="0" w:line="16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functions of the consolidated VIEs include operating accounts registered on third-party ecommerce websites to sell merchandise to local individual customers, and to provide warehousing and logistic services to users’ registered in our GigaCloud Marketplace, by utilizing our cross-border trading experience, international logistic network and our own online marketplace. All of the consolidated VIEs’ nominal shareholders are our trusted employees. We have funded, through either direct capital contribution or intercompany loans, substantially all of our consolidated VIEs’ capital and operation fund. We have information right, management right and control right of daily operation of our consolidated VIEs, especially with respect to all the bank accounts and operating accounts registered on third-party ecommerce websites in the name of, or for the benefit of our consolidated VIEs. Except for local fulfillment tasks such as warehouse management, all other major operations including purchase, sales, customer service and cash management are dealt with by our shared operation team in mainland China.</w:t>
      </w:r>
    </w:p>
    <w:p>
      <w:pPr>
        <w:spacing w:after="0" w:line="178"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Our control agreements with our consolidated VIEs and their shareholders allow us to (i) exercise effective control over our consolidated VIEs, (ii) receive substantially all of the economic benefits of our consolidated VIEs, and (iii) have an exclusive option to purchase all or part of the equity interests in our consolidated VIEs when and to the extent permitted by the applicable laws.</w:t>
      </w:r>
    </w:p>
    <w:p>
      <w:pPr>
        <w:spacing w:after="0" w:line="18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As a result of these control agreements, we are regarded as the primary beneficiary of our consolidated VIEs including all the bank accounts and the operating accounts with relevant ecommerce platforms established or to be established in the name of or for the benefit of the consolidated VIEs, and we treat our consolidated VIEs as our consolidated entities under U.S. GAAP. We have consolidated the financial results of our consolidated VIEs in our consolidated financial statements in accordance with U.S. GAAP. However, our control over our consolidated VIEs through contractual arrangements may not be as effective as direct ownership. In addition,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uncertainties exist as to whether our operation of the business in these jurisdictions through our consolidated VIEs would be found not in compliance with existing or future respective local laws and we may incur substantial costs to enforce the terms of these control agreements with our consolidated VIEs. For a detailed description of the risks associated with our corporate structure and the contractual arrangements that support our corporate structure, see “Risk Factors—Risks Related to Our Corporate Structure.”</w:t>
      </w:r>
    </w:p>
    <w:p>
      <w:pPr>
        <w:spacing w:after="0" w:line="187"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The following is a summary of the currently effective control agreements by and among GigaCloud Technology Inc, each of our consolidated VIEs, and their respective shareholders.</w:t>
      </w:r>
    </w:p>
    <w:p>
      <w:pPr>
        <w:spacing w:after="0" w:line="170"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Pursuant to the control agreements, our consolidated VIEs and each of their shareholders shall not terminate the control agreements unilaterally in any event unless otherwise required by the applicable laws. The control agreements became effective upon execution by the parties, and remain effective until the respective shareholder has transferred all of such shareholder’s equity interests in our consolidated VIEs to us.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each control agreement, we have the following powers: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to Exercise Effective Control over Our Consolidated VIEs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GigaCloud Technology Inc has information right, management right and control right of daily operation of our consolidated VIEs, especially with respect to all the bank accounts and operating accounts with relevant ecommerce platforms established or to be established in the name of, or for the benefit of our consolidated VIEs.</w:t>
      </w:r>
    </w:p>
    <w:p>
      <w:pPr>
        <w:spacing w:after="0" w:line="184"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Our consolidated VIEs and their shareholders shall act in good faith under instructions of GigaCloud Technology Inc and shall not damage the control and management of GigaCloud Technology Inc or affect its financial results and consolidation of such result.</w:t>
      </w:r>
    </w:p>
    <w:p>
      <w:pPr>
        <w:spacing w:after="0" w:line="14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GigaCloud Technology Inc has sole and exclusive power of attorney to act on behalf of each shareholder of our consolidated VIEs with respect to all rights and matters concerning all equity interest held by such shareholder including without limitation to exercising all of the shareholder’s rights and voting rights; deciding the sale, transfer, pledge or disposition of the shares of our consolidated VIEs; representing the shareholder to execute any resolutions and minutes as a shareholder (and director) of our consolidated VIEs; approving the amendments to the articles of association without written consent of such shareholder; approving any change of the share capital of our consolidated VIEs; and appoint directors to our consolidated VIEs at the discretion of GigaCloud Technology Inc. During the term of each control agreement, each shareholder of our consolidated VIEs waives all rights with respect to the equity interests in our consolidated VIEs held by him/her and shall not exercise such rights by himself/herself.</w:t>
      </w:r>
    </w:p>
    <w:p>
      <w:pPr>
        <w:spacing w:after="0" w:line="166"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In order to secure the performance of our consolidated VIEs, each shareholder of our consolidated VIEs agrees to pledge all the equity interests to GigaCloud Technology Inc as security for performance of the contract obligations under the control agreement.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to Receive Substantially All of the Economic Benefits of Our Consolidated VIEs</w:t>
      </w:r>
    </w:p>
    <w:p>
      <w:pPr>
        <w:spacing w:after="0" w:line="225"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GigaCloud Technology Inc is the beneficial owner of all the bank accounts and the operating accounts with relevant ecommerce platforms established or to be established in the name of or for the benefit of our consolidated VIEs. Each shareholder of our consolidated VIEs shall procure the respective VIEs to pay GigaCloud Technology Inc any proceeds received to the bank account designated by GigaCloud Technology Inc weekly as set forth in the control agreements.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Power to Have an Exclusive Option to Purchase All or Part of the Equity Interests</w:t>
      </w:r>
    </w:p>
    <w:p>
      <w:pPr>
        <w:spacing w:after="0" w:line="225"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GigaCloud Technology Inc has irrevocable and exclusive right to purchase the equity interests in our consolidated VIEs held by their shareholder at the sole discretion of GigaCloud Technology Inc at the minimum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price permitted by the applicable laws. Except for GigaCloud Technology Inc, no other person shall be entitled to such option or other rights with respect to the equity interests in our consolidated VIEs.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rely on the account control agreements to operate and control VIEs. All of the account control agreements are governed by local laws and provide for the resolution of disputes through arbitration under local laws. Accordingly, these agreements would be interpreted in accordance with local laws and any disputes would be resolved in accordance with local legal procedures. Uncertainties in the local legal system could limit our ability to enforce these contractual arrangements. In the event that we are unable to enforce these contractual arrangements, or if we suffer significant time delays or other obstacles in the process of enforcing these account control agreements, it would be difficult to exert effective control over VIEs, and our ability to conduct our business and the results of operations and financial condition may be materially and adversely affected. See “Risk Factors—Risks Related to Our Corporate Structure.”</w:t>
      </w:r>
    </w:p>
    <w:p>
      <w:pPr>
        <w:spacing w:after="0" w:line="19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There are substantial uncertainties regarding the interpretation and application of current and future local laws and regulations. Accordingly, if the local government finds that the contractual arrangements do not comply with its restrictions on foreign ownership of businesses, or if the local government otherwise finds that we and the consolidated VIEs are in violation of local laws or regulations or lack the necessary permits or licenses to operate our business, the relevant regulatory authorities would have broad discretion in dealing with such violations, including:</w:t>
      </w:r>
    </w:p>
    <w:p>
      <w:pPr>
        <w:spacing w:after="0" w:line="184"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discontinuing or restricting our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imposing fines or confiscating any of the VIEs’ income that they deem to have been obtained through illegal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imposing conditions or requirements with which the VIEs may not be able to comply;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requiring us to restructure the ownership structure or operations, including terminating the contractual arrangements with the VIEs;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restricting or prohibiting our use of the proceeds of overseas offering to finance the business and operations in these jurisdictions; or</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the business.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If the imposition of any of these penalties or requirement to restructure our corporate structure causes it to lose the rights to direct the activities of the VIEs or our right to receive their economic benefits, we would no longer be able to consolidate the financial results of the VIEs in the consolidated financial statements. In the opinion of management, the likelihood of deconsolidation of the VIEs is remote based on current facts and circumstances.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29"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The following selected consolidated statements of comprehensive income data and consolidated statement of cash flows data for the years ended December 31, 2019, 2020 and 2021 and selected consolidated balance sheet data as of December 31, 2020 and 2021 have been derived from our audited consolidated financial statements included elsewhere in this prospectus. The following selected consolidated statements of comprehensive income data for the three months ended March 31, 2021 and 2022, selected consolidated balance sheet data as of March 31, 2022, and selected consolidated statements of cash flows data for the three months ended March 31, 2021 and 2022 have been derived from our unaudited condensed consolidated financial statements included elsewhere in this prospectus and have been prepared on the same basis as our audited consolidated financial statements and include all adjustments, consisting only of ordinary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for any future periods. You should read this section together with our consolidated financial statements and the related notes and the “Management’s Discussion and Analysis of Financial Condition and Results of Operations” section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160" w:type="dxa"/>
            <w:vAlign w:val="bottom"/>
            <w:gridSpan w:val="5"/>
            <w:vMerge w:val="restart"/>
          </w:tcPr>
          <w:p>
            <w:pPr>
              <w:jc w:val="center"/>
              <w:ind w:left="752"/>
              <w:spacing w:after="0"/>
              <w:rPr>
                <w:sz w:val="20"/>
                <w:szCs w:val="20"/>
                <w:color w:val="auto"/>
              </w:rPr>
            </w:pPr>
            <w:r>
              <w:rPr>
                <w:rFonts w:ascii="Arial" w:cs="Arial" w:eastAsia="Arial" w:hAnsi="Arial"/>
                <w:sz w:val="14"/>
                <w:szCs w:val="14"/>
                <w:b w:val="1"/>
                <w:bCs w:val="1"/>
                <w:color w:val="auto"/>
                <w:w w:val="93"/>
              </w:rPr>
              <w:t>For the Year Ended December 31,</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3160" w:type="dxa"/>
            <w:vAlign w:val="bottom"/>
            <w:tcBorders>
              <w:bottom w:val="single" w:sz="8" w:color="auto"/>
            </w:tcBorders>
            <w:gridSpan w:val="5"/>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tcBorders>
              <w:bottom w:val="single" w:sz="8" w:color="auto"/>
            </w:tcBorders>
            <w:gridSpan w:val="3"/>
          </w:tcPr>
          <w:p>
            <w:pPr>
              <w:jc w:val="center"/>
              <w:ind w:left="954"/>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1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0"/>
                <w:szCs w:val="10"/>
                <w:color w:val="auto"/>
              </w:rPr>
            </w:pPr>
          </w:p>
        </w:tc>
        <w:tc>
          <w:tcPr>
            <w:tcW w:w="124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Restated*</w:t>
            </w:r>
          </w:p>
        </w:tc>
        <w:tc>
          <w:tcPr>
            <w:tcW w:w="8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Restated*</w:t>
            </w: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980" w:type="dxa"/>
            <w:vAlign w:val="bottom"/>
            <w:gridSpan w:val="8"/>
          </w:tcPr>
          <w:p>
            <w:pPr>
              <w:ind w:left="520"/>
              <w:spacing w:after="0" w:line="142" w:lineRule="exact"/>
              <w:rPr>
                <w:sz w:val="20"/>
                <w:szCs w:val="20"/>
                <w:color w:val="auto"/>
              </w:rPr>
            </w:pPr>
            <w:r>
              <w:rPr>
                <w:rFonts w:ascii="Arial" w:cs="Arial" w:eastAsia="Arial" w:hAnsi="Arial"/>
                <w:sz w:val="14"/>
                <w:szCs w:val="14"/>
                <w:b w:val="1"/>
                <w:bCs w:val="1"/>
                <w:color w:val="auto"/>
              </w:rPr>
              <w:t>($ in thousands, except for share data and per share data)</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Consolidated Statements of</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60,130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98,332</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20,418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Product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107,145</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215,348</w:t>
            </w:r>
          </w:p>
        </w:tc>
        <w:tc>
          <w:tcPr>
            <w:tcW w:w="3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315,865</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74,110</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81,224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122,296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275,478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414,197</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94,528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112,442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(37,147)</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(84,723)</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(14,146)</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(29,201)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Product sales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(90,405)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(163,215)</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(239,877)</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(59,494)</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(66,371)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(100,102)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(200,362)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(324,600)</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(73,640)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(95,572)</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22,194</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75,116</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89,597</w:t>
            </w:r>
          </w:p>
        </w:tc>
        <w:tc>
          <w:tcPr>
            <w:tcW w:w="3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20,888</w:t>
            </w: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(12,680)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(22,215)</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(25,728)</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(7,359)</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(8,717)</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(24,516)</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(17,392)</w:t>
            </w:r>
          </w:p>
        </w:tc>
        <w:tc>
          <w:tcPr>
            <w:tcW w:w="2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(30,932)</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(50,244)</w:t>
            </w:r>
          </w:p>
        </w:tc>
        <w:tc>
          <w:tcPr>
            <w:tcW w:w="3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(10,300)</w:t>
            </w:r>
          </w:p>
        </w:tc>
        <w:tc>
          <w:tcPr>
            <w:tcW w:w="4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4,802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44,184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39,353</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10,588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7,481</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1"/>
              </w:rPr>
              <w:t>Foreign currency exchange gains (losses), net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(2,012)</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372"/>
        </w:trPr>
        <w:tc>
          <w:tcPr>
            <w:tcW w:w="34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60" w:type="dxa"/>
            <w:vAlign w:val="bottom"/>
            <w:gridSpan w:val="5"/>
            <w:vMerge w:val="restart"/>
          </w:tcPr>
          <w:p>
            <w:pPr>
              <w:ind w:left="1040"/>
              <w:spacing w:after="0"/>
              <w:rPr>
                <w:sz w:val="20"/>
                <w:szCs w:val="20"/>
                <w:color w:val="auto"/>
              </w:rPr>
            </w:pPr>
            <w:r>
              <w:rPr>
                <w:rFonts w:ascii="Arial" w:cs="Arial" w:eastAsia="Arial" w:hAnsi="Arial"/>
                <w:sz w:val="14"/>
                <w:szCs w:val="14"/>
                <w:b w:val="1"/>
                <w:bCs w:val="1"/>
                <w:color w:val="auto"/>
                <w:w w:val="98"/>
              </w:rPr>
              <w:t>For the Year Ended December 31,</w:t>
            </w: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3260" w:type="dxa"/>
            <w:vAlign w:val="bottom"/>
            <w:tcBorders>
              <w:bottom w:val="single" w:sz="8" w:color="auto"/>
            </w:tcBorders>
            <w:gridSpan w:val="5"/>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876"/>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0"/>
                <w:szCs w:val="10"/>
                <w:color w:val="auto"/>
              </w:rPr>
            </w:pPr>
          </w:p>
        </w:tc>
        <w:tc>
          <w:tcPr>
            <w:tcW w:w="1180" w:type="dxa"/>
            <w:vAlign w:val="bottom"/>
          </w:tcPr>
          <w:p>
            <w:pPr>
              <w:jc w:val="right"/>
              <w:ind w:right="355"/>
              <w:spacing w:after="0" w:line="119" w:lineRule="exact"/>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0"/>
                <w:szCs w:val="10"/>
                <w:color w:val="auto"/>
              </w:rPr>
            </w:pPr>
          </w:p>
        </w:tc>
        <w:tc>
          <w:tcPr>
            <w:tcW w:w="1180" w:type="dxa"/>
            <w:vAlign w:val="bottom"/>
          </w:tcPr>
          <w:p>
            <w:pPr>
              <w:jc w:val="right"/>
              <w:ind w:right="356"/>
              <w:spacing w:after="0" w:line="119" w:lineRule="exact"/>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Restated*</w:t>
            </w:r>
          </w:p>
        </w:tc>
        <w:tc>
          <w:tcPr>
            <w:tcW w:w="9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Restated*</w:t>
            </w: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gridSpan w:val="8"/>
          </w:tcPr>
          <w:p>
            <w:pPr>
              <w:ind w:left="520"/>
              <w:spacing w:after="0" w:line="142" w:lineRule="exact"/>
              <w:rPr>
                <w:sz w:val="20"/>
                <w:szCs w:val="20"/>
                <w:color w:val="auto"/>
              </w:rPr>
            </w:pPr>
            <w:r>
              <w:rPr>
                <w:rFonts w:ascii="Arial" w:cs="Arial" w:eastAsia="Arial" w:hAnsi="Arial"/>
                <w:sz w:val="14"/>
                <w:szCs w:val="14"/>
                <w:b w:val="1"/>
                <w:bCs w:val="1"/>
                <w:color w:val="auto"/>
              </w:rPr>
              <w:t>($ in thousands, except for share data and per share data)</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4,802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45,275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37,725</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9,933</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6,346</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3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2,857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37,455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29,257</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7,983</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4,739</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Accretion of redeemable convertible</w:t>
            </w: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ordinary</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of our company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2,857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37,303</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27,757</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7,613</w:t>
            </w: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4,369</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Foreign currency translation adjustment, net</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nil income taxes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w w:val="96"/>
              </w:rPr>
              <w:t>Total other comprehensive income (loss)</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3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37,091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29,380</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7,948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4,670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ordinary share</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0.88</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ordinary</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b w:val="1"/>
                <w:bCs w:val="1"/>
                <w:color w:val="auto"/>
                <w:w w:val="96"/>
              </w:rPr>
              <w:t>shares outstanding used in computing</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80"/>
              <w:spacing w:after="0"/>
              <w:rPr>
                <w:sz w:val="20"/>
                <w:szCs w:val="20"/>
                <w:color w:val="auto"/>
              </w:rPr>
            </w:pPr>
            <w:r>
              <w:rPr>
                <w:rFonts w:ascii="Arial" w:cs="Arial" w:eastAsia="Arial" w:hAnsi="Arial"/>
                <w:sz w:val="18"/>
                <w:szCs w:val="18"/>
                <w:b w:val="1"/>
                <w:bCs w:val="1"/>
                <w:color w:val="auto"/>
              </w:rPr>
              <w:t>net income per ordinary share</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9,495,844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9,495,844</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10,248,079</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9,495,844</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12,999,986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560" w:hanging="424"/>
        <w:spacing w:after="0" w:line="253"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7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As of December 31,</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848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2460" w:type="dxa"/>
            <w:vAlign w:val="bottom"/>
            <w:gridSpan w:val="4"/>
            <w:shd w:val="clear" w:color="auto" w:fill="CCEEFF"/>
          </w:tcPr>
          <w:p>
            <w:pPr>
              <w:ind w:left="640"/>
              <w:spacing w:after="0"/>
              <w:rPr>
                <w:sz w:val="20"/>
                <w:szCs w:val="20"/>
                <w:color w:val="auto"/>
              </w:rPr>
            </w:pPr>
            <w:r>
              <w:rPr>
                <w:rFonts w:ascii="Arial" w:cs="Arial" w:eastAsia="Arial" w:hAnsi="Arial"/>
                <w:sz w:val="18"/>
                <w:szCs w:val="18"/>
                <w:b w:val="1"/>
                <w:bCs w:val="1"/>
                <w:color w:val="auto"/>
              </w:rPr>
              <w:t>($ in thousands)</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24,020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18,036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21,112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35,578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81,441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110,744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132,369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172,419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187,309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159,902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138,343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186,777</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347,211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18,831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48,907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57,044</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100,722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2,665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115,788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51,572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60,945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216,510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25,152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26,652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27,022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61,619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99,180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103,679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equity</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138,343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347,211</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2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For the Year Ended</w:t>
            </w: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15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 of Cash Flow Data:</w:t>
            </w:r>
          </w:p>
        </w:tc>
        <w:tc>
          <w:tcPr>
            <w:tcW w:w="540" w:type="dxa"/>
            <w:vAlign w:val="bottom"/>
            <w:shd w:val="clear" w:color="auto" w:fill="CCEEFF"/>
          </w:tcPr>
          <w:p>
            <w:pPr>
              <w:spacing w:after="0"/>
              <w:rPr>
                <w:sz w:val="18"/>
                <w:szCs w:val="18"/>
                <w:color w:val="auto"/>
              </w:rPr>
            </w:pPr>
          </w:p>
        </w:tc>
        <w:tc>
          <w:tcPr>
            <w:tcW w:w="2420" w:type="dxa"/>
            <w:vAlign w:val="bottom"/>
            <w:gridSpan w:val="4"/>
            <w:shd w:val="clear" w:color="auto" w:fill="CCEEFF"/>
          </w:tcPr>
          <w:p>
            <w:pPr>
              <w:jc w:val="right"/>
              <w:ind w:right="417"/>
              <w:spacing w:after="0"/>
              <w:rPr>
                <w:sz w:val="20"/>
                <w:szCs w:val="20"/>
                <w:color w:val="auto"/>
              </w:rPr>
            </w:pPr>
            <w:r>
              <w:rPr>
                <w:rFonts w:ascii="Arial" w:cs="Arial" w:eastAsia="Arial" w:hAnsi="Arial"/>
                <w:sz w:val="18"/>
                <w:szCs w:val="18"/>
                <w:b w:val="1"/>
                <w:bCs w:val="1"/>
                <w:color w:val="auto"/>
              </w:rPr>
              <w:t>($ in thousands)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33,284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8,556</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(6,459)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(647)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(1,825)</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(594)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23,272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(2,956)</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(530)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restricted cash</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(2,110)</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increase (decrease) in cash and restricted cash</w:t>
            </w:r>
          </w:p>
        </w:tc>
        <w:tc>
          <w:tcPr>
            <w:tcW w:w="540" w:type="dxa"/>
            <w:vAlign w:val="bottom"/>
          </w:tcPr>
          <w:p>
            <w:pPr>
              <w:jc w:val="right"/>
              <w:spacing w:after="0"/>
              <w:rPr>
                <w:sz w:val="20"/>
                <w:szCs w:val="20"/>
                <w:color w:val="auto"/>
              </w:rPr>
            </w:pPr>
            <w:r>
              <w:rPr>
                <w:rFonts w:ascii="Arial" w:cs="Arial" w:eastAsia="Arial" w:hAnsi="Arial"/>
                <w:sz w:val="18"/>
                <w:szCs w:val="18"/>
                <w:color w:val="auto"/>
              </w:rPr>
              <w:t>441</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56,644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1,665</w:t>
            </w: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(7,586)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the beginning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5,112</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5,553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62,197</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8"/>
              </w:rPr>
              <w:t>62,197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63,862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Cash and restricted cash at the end of the year</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5,553</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62,197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63,862</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w w:val="98"/>
              </w:rPr>
              <w:t>54,611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49,526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U.S. GAAP, we use Adjusted EBITDA, which is net income excluding interest, income taxes and depreciation, further adjusted to exclude share-based compensation expenses, a non-GAAP financial measure, to understand and evaluate our core operating performance. Non-GAAP financial measure,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 The table below sets forth a reconciliation of Adjusted EBITDA from net income for the periods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6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rPr>
              <w:t>For the Year Ended</w:t>
            </w: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366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72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0"/>
                <w:szCs w:val="10"/>
                <w:color w:val="auto"/>
              </w:rPr>
            </w:pP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60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2"/>
              </w:rPr>
              <w:t>Restated*</w:t>
            </w: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Restated*</w:t>
            </w: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2,857</w:t>
            </w:r>
          </w:p>
        </w:tc>
        <w:tc>
          <w:tcPr>
            <w:tcW w:w="9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37,455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29,257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7,983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4,739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Add: Income tax expense</w:t>
            </w:r>
          </w:p>
        </w:tc>
        <w:tc>
          <w:tcPr>
            <w:tcW w:w="3760" w:type="dxa"/>
            <w:vAlign w:val="bottom"/>
            <w:gridSpan w:val="3"/>
          </w:tcPr>
          <w:p>
            <w:pPr>
              <w:jc w:val="right"/>
              <w:ind w:right="100"/>
              <w:spacing w:after="0"/>
              <w:rPr>
                <w:sz w:val="20"/>
                <w:szCs w:val="20"/>
                <w:color w:val="auto"/>
              </w:rPr>
            </w:pPr>
            <w:r>
              <w:rPr>
                <w:rFonts w:ascii="Arial" w:cs="Arial" w:eastAsia="Arial" w:hAnsi="Arial"/>
                <w:sz w:val="18"/>
                <w:szCs w:val="18"/>
                <w:color w:val="auto"/>
              </w:rPr>
              <w:t>1,945</w:t>
            </w:r>
          </w:p>
        </w:tc>
        <w:tc>
          <w:tcPr>
            <w:tcW w:w="940" w:type="dxa"/>
            <w:vAlign w:val="bottom"/>
            <w:gridSpan w:val="3"/>
          </w:tcPr>
          <w:p>
            <w:pPr>
              <w:jc w:val="right"/>
              <w:ind w:right="148"/>
              <w:spacing w:after="0"/>
              <w:rPr>
                <w:sz w:val="20"/>
                <w:szCs w:val="20"/>
                <w:color w:val="auto"/>
              </w:rPr>
            </w:pPr>
            <w:r>
              <w:rPr>
                <w:rFonts w:ascii="Arial" w:cs="Arial" w:eastAsia="Arial" w:hAnsi="Arial"/>
                <w:sz w:val="18"/>
                <w:szCs w:val="18"/>
                <w:color w:val="auto"/>
              </w:rPr>
              <w:t>7,820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8,468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1,607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w:t>
            </w:r>
          </w:p>
        </w:tc>
        <w:tc>
          <w:tcPr>
            <w:tcW w:w="3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Less: Interest income</w:t>
            </w:r>
          </w:p>
        </w:tc>
        <w:tc>
          <w:tcPr>
            <w:tcW w:w="37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3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9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227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32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9,681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45,490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47,953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10,028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6,928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0" w:type="dxa"/>
            <w:vAlign w:val="bottom"/>
            <w:vMerge w:val="restart"/>
          </w:tcPr>
          <w:p>
            <w:pPr>
              <w:jc w:val="right"/>
              <w:ind w:right="1633"/>
              <w:spacing w:after="0"/>
              <w:rPr>
                <w:sz w:val="20"/>
                <w:szCs w:val="20"/>
                <w:color w:val="auto"/>
              </w:rPr>
            </w:pPr>
            <w:r>
              <w:rPr>
                <w:rFonts w:ascii="Arial" w:cs="Arial" w:eastAsia="Arial" w:hAnsi="Arial"/>
                <w:sz w:val="18"/>
                <w:szCs w:val="18"/>
                <w:color w:val="auto"/>
              </w:rPr>
              <w:t>115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560" w:hanging="424"/>
        <w:spacing w:after="0" w:line="25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Operating Metrics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certain key financial and operating metrics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For the Year Ended December 31,</w:t>
            </w:r>
          </w:p>
        </w:tc>
        <w:tc>
          <w:tcPr>
            <w:tcW w:w="18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12 Months</w:t>
            </w:r>
          </w:p>
        </w:tc>
        <w:tc>
          <w:tcPr>
            <w:tcW w:w="0" w:type="dxa"/>
            <w:vAlign w:val="bottom"/>
          </w:tcPr>
          <w:p>
            <w:pPr>
              <w:spacing w:after="0"/>
              <w:rPr>
                <w:sz w:val="1"/>
                <w:szCs w:val="1"/>
                <w:color w:val="auto"/>
              </w:rPr>
            </w:pPr>
          </w:p>
        </w:tc>
      </w:tr>
      <w:tr>
        <w:trPr>
          <w:trHeight w:val="17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GigaCloud Marketplace:</w:t>
            </w:r>
          </w:p>
        </w:tc>
        <w:tc>
          <w:tcPr>
            <w:tcW w:w="2840" w:type="dxa"/>
            <w:vAlign w:val="bottom"/>
            <w:gridSpan w:val="6"/>
            <w:vMerge w:val="continue"/>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GigaCloud Marketplace GMV (in $ thousands)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$ 35,468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$ 190,480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$ 259,050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$ 438,126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Active 3P sellers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382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Active buyers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Spend per active buyer (in $)</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$ 80,427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$ 112,777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116,150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$ 121,165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$ 115,845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For additional information about our key financial and operating metrics, see “Management’s Discussion and Analysis of Financial Condition and Results of Operations—Key Financial and Operating Metrics.”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 pioneer of global end-to-end B2B ecommerce solutions for large parcel merchandise. We generate revenues through three revenue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streams:</w:t>
      </w:r>
    </w:p>
    <w:p>
      <w:pPr>
        <w:spacing w:after="0" w:line="238"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GigaCloud 3P: </w:t>
      </w:r>
      <w:r>
        <w:rPr>
          <w:rFonts w:ascii="Arial" w:cs="Arial" w:eastAsia="Arial" w:hAnsi="Arial"/>
          <w:sz w:val="16"/>
          <w:szCs w:val="16"/>
          <w:color w:val="auto"/>
        </w:rPr>
        <w:t>generates service revenues by facilitating transactions between sellers and buyers in our GigaCloud Marketplace.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GigaCloud 1P: </w:t>
      </w:r>
      <w:r>
        <w:rPr>
          <w:rFonts w:ascii="Arial" w:cs="Arial" w:eastAsia="Arial" w:hAnsi="Arial"/>
          <w:sz w:val="18"/>
          <w:szCs w:val="18"/>
          <w:color w:val="auto"/>
        </w:rPr>
        <w:t>generates product revenues through the sale of our inventory in our GigaCloud Marketplace.</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Off-platform ecommerce: </w:t>
      </w:r>
      <w:r>
        <w:rPr>
          <w:rFonts w:ascii="Arial" w:cs="Arial" w:eastAsia="Arial" w:hAnsi="Arial"/>
          <w:sz w:val="18"/>
          <w:szCs w:val="18"/>
          <w:color w:val="auto"/>
        </w:rPr>
        <w:t>generates product revenues through the sale of our inventory to and through third-party ecommerce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GigaCloud 3P and GigaCloud 1P together make up our GigaCloud Marketplace, generating service revenues and product revenues, respectively. GigaCloud 1P and off-platform ecommerce make up our total 1P, or product revenues. These three revenue streams complement each other to improve our value proposition to sellers and buyers in our GigaCloud Marketplace.</w:t>
      </w:r>
    </w:p>
    <w:p>
      <w:pPr>
        <w:spacing w:after="0" w:line="18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following graphic shows the revenues and GMV contribution from these three revenue streams in 2020 and 2021 and the three months ended March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134620</wp:posOffset>
            </wp:positionV>
            <wp:extent cx="4294505" cy="35058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9450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We are focused on facilitating B2B ecommerce transactions in our GigaCloud Marketplace. We built the GigaCloud Marketplace to democratize access and distribution globally so that manufacturers, who are typically sellers in our marketplace, and online resellers, who are typically buyers in our marketplace, could transact without borders. Manufacturers view our marketplace as an essential sales channel to thousands of online resellers in the U.S. and Europe. Our GigaCloud marketplace enables manufacturers to deliver their products around the world. Additionally, online resellers may lack the resources and infrastructure to manage a global supply chain and support international distribution. Our integrated ecommerce solutions allow online resellers to offer products and services comparable to those offered by large ecommerce platforms by giving them access to a large and growing catalog of products at wholesale prices, supported by industry-leading global fulfillment capabilities.</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enhance our marketplace experience, we also sell our own inventory, or 1P, through the GigaCloud Marketplace and to and through third-party ecommerce websites such as Rakuten in Japan, Amazon and Walmart in the U.S. and Wayfair in the U.K. These product revenues expand our market presence, reduce inventory and logistics risk for sellers, create more products for buyers, drive volume-based cost efficiencies for sourcing products, provide us with data and increase the velocity of sales on our marketplace. Product revenues through the GigaCloud Marketplace and to and through third-party ecommerce websites, represented 78.2%, 76.3%, 78.4% and 72.2% of total revenues in 2020, 2021 and the three months ended March 31, 2021 and 2022, respectively. As we focus on expanding our GigaCloud Marketplace into a leading global large parcel B2B marketplace, we expect service revenue from 3P to grow faster than product revenue from 1P in the future, but we expect 1P to remain an important distribution channel for our own inventory.</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service revenues totaled $60.1 million and product revenues totaled $215.4 million in 2020, representing a 296.9% and 101.0% increase over 2019, respectively. Our service revenues totaled $98.3 million and product revenues totaled $315.9 million in 2021, representing a 63.5% and</w:t>
      </w:r>
    </w:p>
    <w:p>
      <w:pPr>
        <w:ind w:left="120" w:right="100"/>
        <w:spacing w:after="0" w:line="253" w:lineRule="auto"/>
        <w:rPr>
          <w:sz w:val="20"/>
          <w:szCs w:val="20"/>
          <w:color w:val="auto"/>
        </w:rPr>
      </w:pPr>
      <w:r>
        <w:rPr>
          <w:rFonts w:ascii="Arial" w:cs="Arial" w:eastAsia="Arial" w:hAnsi="Arial"/>
          <w:sz w:val="18"/>
          <w:szCs w:val="18"/>
          <w:color w:val="auto"/>
        </w:rPr>
        <w:t>46.7% increase over 2020. Our service revenue totaled $31.2 million and product revenues totaled $81.2 million in the three months ended March 31, 2022, representing a 52.9% and 9.6% increase over the three months ended March 31, 2021. In 2020, 2021 and the three months ended March 31, 2021 and 2022, our total GMV was $283.7 million, $541.8 million, $121.4 million and $140.1 million, respectively, of which GigaCloud Marketplace GMV was $190.5 million, $414.2 million, $89.5 million and $113.4 million, respectively, and off-platform ecommerce GMV was $93.2 million, $127.6 million, $31.9 million and $27.0 million,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GigaCloud Marketplace, our global B2B ecommerce platform, integrates everything from product discovery, payments and logistics tools into one easy-to-use platform. Sellers and buyers from our targeted markets around the world leverage our cross-border fulfillment network which is optimized for large parcel products in order to trade with each other while saving costs. Underpinned by a network of strategically-placed warehouses and supply chain capabilities, our marketplace is designed to simplify and mitigate logistics and inventory requirements for both our sellers and buyers.</w:t>
      </w:r>
    </w:p>
    <w:p>
      <w:pPr>
        <w:spacing w:after="0" w:line="157"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Once we attract new sellers and buyers to our marketplace, we leverage our technology and supply chain solutions to drive retention. We provide value-added services like product sales forecasts to our sellers to allow them to more efficiently manage inventory and reduce costs. Our integrated supply chain also offers manufacturers and online resellers in our marketplace enhanced visibility into product inventory, reducing inventory turnover and associated transaction costs. The value of our model is demonstrated by the growth in GMV from our new and existing sellers and buyers.</w:t>
      </w:r>
    </w:p>
    <w:p>
      <w:pPr>
        <w:spacing w:after="0" w:line="157"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2020, 2021 and the 12 months ended March 31, 2022, GigaCloud Marketplace had 210, 382 and 410 active 3P sellers, and 1,689, 3,566 and 3,782 active buyers, respectively. Sellers in our marketplace are typically manufacturers based in Asia, who are able to leverage our supply chain capabilities to establish overseas sales channels without having to invest in their own logistics or rely on intermediaries. The buyers in our marketplace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are typically resellers based in the U.S. and Europe that procure products at wholesale prices and subsequently sell on third-party B2C platforms.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GigaCloud 3P</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Through GigaCloud 3P, we generate service revenues through the various activities of sellers and buyers in our GigaCloud Marketplace, which result in commission fees, warehousing fees, last mile delivery fees, fulfillment fees and other fees. When a seller and buyer enter into a transaction in GigaCloud Marketplace, we earn a percentage commission depending on the transaction value. The standard commission ranges between 1% and 5% depending on the size of the transaction. We also charge warehousing fees in connection with the storage of products in our warehouses, last-mile delivery fees if the buyer requires last-mile delivery services and fulfillment fees for other freight services such as delivery of products via ocean transportation.</w:t>
      </w:r>
    </w:p>
    <w:p>
      <w:pPr>
        <w:spacing w:after="0" w:line="192"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From time to time in 2019, 2020 and 2021 and the three months ended March 31, 2022, when we had excess fulfillment capacity, we also provided third-party logistics services to customers to help fulfill their large parcel transportation in the U.S. leveraging our extensive logistics network. As we continue to grow our GigaCloud Marketplace, we expect to dedicate our logistics capacity to products sold on our own marketplace, and will only opportunistically provide third-party logistics services when there is excess capacity within our network.</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chart below displays the quarterly GigaCloud Marketplace GMV of our 3P sellers in our GigaCloud Marketplace for the 12 months ended in December 31, 2019, 2020 and 2021 and March 31, 2022. 2019 3P Sellers, 2020 3P Sellers, 2021 3P Sellers and 2022 Q1 3P Sellers represent the groups of sellers who first sold products in our GigaCloud Marketplace in 2019, 2020, 2021 and the 12 months ended March 31, 2022, respectively. The Active 3P Sellers shows the total number of sellers who have sold at least one item in our GigaCloud Marketplace in the last 12 months. 2019 3P Sellers, 2020 3P Sellers, 2021 3P Sellers and 2022 Q1 3P Sellers have demonstrated attractive quarter-over-quarter growth in both number of sellers and GigaCloud Marketplace GMV,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148590</wp:posOffset>
            </wp:positionV>
            <wp:extent cx="5057775" cy="25203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5777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The chart below displays GigaCloud Marketplace GMV of our buyers in our GigaCloud Marketplace for the 12 months ended in December 31, 2019, 2020 and 2021 and March 31, 2022. 2019 Buyers, 2020 Buyers and 2021 Buyers represent the groups of buyers who first purchased products in our GigaCloud Marketplace in 2019, 2020, 2021 and the 12 months ended March 31, 2022, respectively. The Active Buyers shows the total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number of buyers who have made at least one purchase in our GigaCloud Marketplace in the last 12 months. Our number of buyers and buyer GMV have grown in each quarter since inception,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134620</wp:posOffset>
            </wp:positionV>
            <wp:extent cx="5048885" cy="258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4888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GigaCloud 1P</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Through GigaCloud 1P, we further enhance our marketplace experience by selling our own inventory. Our 1P selling creates more products for buyers, gives us insights into seller needs, provides us with proprietary data and increases the velocity of sales in our marketplace. Through GigaCloud 1P we generate revenues from product sales.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Off-platform Ecommerce</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In addition to facilitating transactions in our GigaCloud Marketplace, we also procure highly-rated products directly from manufacturers and sell them directly to and through third-party ecommerce websites such as Rakuten, Amazon, Walmart and Wayfair. Off-platform ecommerce sales deepen our relationships with sellers and provide us with proprietary data. We expect the off-platform ecommerce GMV to GigaCloud Marketplace GMV as percentages of total GMV to gradually decrease. Through off-platform ecommerce we generate revenues from product sales.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are continuing to monitor the impact of the COVID-19 pandemic on our business, results of operations and financial results. The COVID-19 pandemic has temporarily disrupted the global supply chain, forcing factory closures and reducing manufacturing output. We anticipate that these actions and the global health crisis caused by the COVID-19 pandemic, including any variants, will continue to negatively impact global economic activity. Travel restrictions relating to COVID-19 have substantially reduced global air freight capacities and led to shortages in global ocean freight capacities, pushing global freight rates to reach a record level in 2021. In late March and April 2022, certain regions in China were subject to lockdown and other constraints imposed by the local government authorities due to a new wave of COVID-19 outbreak in those regions. Employees who are located in those regions were required to work remotely and/or suspended any business travels. Although a majority of our employees are located in China, our business, products, lines of service, projects and operations were not materially impacted by such pandemic-related lockdown in China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because we were able to maintain normal business operations under a remote working arrangement with our employees. There were a few days of delays in the shipping and handling of parcel in and out of the Shanghai port due to the lock-down in the area. The percentage of shipment from Shanghai port made up approximately 15% and 9% of our total shipment in March and April 2022. Furthermore, since most of the buyers in our GigaCloud Marketplace are typically resellers based in the U.S. and Europe and the buyers on third-party ecommerce websites are located outside of China, the lock-down in China in 2022 did not have a material impact of consumer demand of our products and services. Simultaneously, demand and purchasing patterns have changed due to COVID-19 restrictions. While it is difficult to predict all of the impacts the COVID-19 pandemic will have on our business, we believe the long-term opportunities that we see for shopping for large parcel merchandise remain unchanged. The situation surrounding the COVID-19 outbreak remains fluid. The full extent of the positive or negative impact of the COVID-19 pandemic on our business will be determined by many factors, including the length of time that the outbreak continues, the impact on customers behaviors and the specific effects on our customers, employees, suppliers, third-party carriers and other stakeholders, all of which are uncertain and cannot be predicted.</w:t>
      </w:r>
    </w:p>
    <w:p>
      <w:pPr>
        <w:spacing w:after="0" w:line="168"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During this time, our focus remains on serving our customers and on promoting the health, safety and financial security of our employees. We have taken a number of precautionary measures as may be required, including enhancing cleaning measures, instituting COVID-19 testing in our facilities, suspending all non-essential travel, transitioning a large portion of our employees to working-from-home and developing no-contact delivery methods.</w:t>
      </w:r>
    </w:p>
    <w:p>
      <w:pPr>
        <w:spacing w:after="0" w:line="187"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During the COVID-19 pandemic, we have continued to see increased revenues and order activity in our GigaCloud Marketplace and third-party ecommerce websites. To serve the increased orders, we have hired and are continuing to hire additional warehouse staff and sales and marketing staff. However, the situation remains dynamic and subject to rapid and possibly material change. We will continue to actively monitor the impact of the pandemic on our business and may take further actions that alter our business operations as may be required by the authorities where we have operations, or that we determine are in the best interest of our customers, employees, suppliers, third-party carriers and others. While the COVID-19 pandemic has not had a material adverse impact on our operations to date and we believe the long-term opportunities for large parcel merchandise remains unchanged, it is difficult to predict all of the positive or negative impacts that the COVID-19 pandemic will have on our business over the short and long term. See “Risk Factors—Risks Related to Our Business and Industry—The COVID-19 pandemic could materially and adversely impact our business.”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Operating Metrics</w:t>
      </w:r>
    </w:p>
    <w:p>
      <w:pPr>
        <w:spacing w:after="0" w:line="229" w:lineRule="exact"/>
        <w:rPr>
          <w:sz w:val="20"/>
          <w:szCs w:val="20"/>
          <w:color w:val="auto"/>
        </w:rPr>
      </w:pPr>
    </w:p>
    <w:p>
      <w:pPr>
        <w:ind w:left="120" w:right="820" w:firstLine="881"/>
        <w:spacing w:after="0" w:line="277" w:lineRule="auto"/>
        <w:rPr>
          <w:sz w:val="20"/>
          <w:szCs w:val="20"/>
          <w:color w:val="auto"/>
        </w:rPr>
      </w:pPr>
      <w:r>
        <w:rPr>
          <w:rFonts w:ascii="Arial" w:cs="Arial" w:eastAsia="Arial" w:hAnsi="Arial"/>
          <w:sz w:val="18"/>
          <w:szCs w:val="18"/>
          <w:color w:val="auto"/>
        </w:rPr>
        <w:t>We monitor the following key financial and operating metrics to evaluate the growth of our GigaCloud Marketplace, measure our performance, identify trends affecting our business, formulate business plans and make strategic decisions.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tables set forth our key financial and operating metrics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w w:val="95"/>
              </w:rPr>
              <w:t>For the Year Ended</w:t>
            </w:r>
          </w:p>
        </w:tc>
        <w:tc>
          <w:tcPr>
            <w:tcW w:w="36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For the 12 Months</w:t>
            </w: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GigaCloud Marketplace:</w:t>
            </w:r>
          </w:p>
        </w:tc>
        <w:tc>
          <w:tcPr>
            <w:tcW w:w="1640" w:type="dxa"/>
            <w:vAlign w:val="bottom"/>
            <w:vMerge w:val="restart"/>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7"/>
              </w:rPr>
              <w:t>Ended March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GigaCloud Marketplace GMV (in $ thousands)</w:t>
            </w: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$ 35,468</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$ 190,480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$ 414,192</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$ 259,050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$ 438,126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Active 3P sellers</w:t>
            </w: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210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382</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236</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Active buyers</w:t>
            </w:r>
          </w:p>
        </w:tc>
        <w:tc>
          <w:tcPr>
            <w:tcW w:w="2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1,689</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3,566</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2,138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Spend per active buyer (in $)</w:t>
            </w: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$ 80,427</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$ 112,777</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$ 116,150</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$ 121,165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$ 115,845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GigaCloud Marketplace GMV</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growth in GigaCloud Marketplace GMV, including GMV from both GigaCloud 3P and GigaCloud 1P, reflects our ability to attract and retain sellers and buyers in the GigaCloud Marketplace. The revenues we generate in our marketplace is highly correlated to the amount of GMV transacted in the GigaCloud Marketplace.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GigaCloud Marketplace GMV increased from $35.5 million in 2019 to $190.5 million in 2020, representing a growth of 437.0%, primarily due to the growth in the numbers of sellers and buyers transacting in our marketplace and increase in spend per active buyer. Growth in GigaCloud Marketplace GMV increased significantly in the 12 months ended June 30, September 30 and December 31 in 2020 due to our growing marketplace to reach economies of scale, introduction of new sellers and buyers to our marketplace while maintaining transactions volume from our existing sellers and buyers, as well as accelerated migration of large parcel purchases online because of COVID-19. GigaCloud Marketplace GMV increased from $190.5 million in 2020 to $414.2 million in 2021, representing a growth of 117.4% year-over-year, and further increased to $438.1 million in the 12 months ended March 31, 2022, representing a growth of 69.1% period-over-period, primarily due to the continued increases in the numbers of sellers and buyers transacting in our marketplace and an increase in spend per active buyer. We expect our growth to continue post COVID-19 as consumers increasingly embrace online purchases for large parcel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140970</wp:posOffset>
            </wp:positionV>
            <wp:extent cx="5092065" cy="2125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9206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Active 3P Sellers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number of active 3P sellers in the GigaCloud Marketplace increased every quarter since the first quarter of 2019. We had 71 active 3P sellers in 2019, 210 active 3P sellers in 2020, 382 active 3P sellers in 2021 and 410 active 3P Sellers in the 12 months ended March 31, 2022. We view active 3P sellers as a key driver of the product catalog in our marketplace, which helps attract and retain buyers. At the end of 2020, we had 4,937 SKUs across furniture, home appliance, fitness equipment and other large parcel categories from our active 3P sellers, up from 570 SKUs at the end of 2019. As of December 31, 2021, our SKUs increased to 6,334, and further increased to 7,300 as of March 31, 2022. We expect continued growth in the number of active 3P sellers through internal sales force initiatives, referrals by existing users and word-of-mouth. We leverage our 1P inventory to help establish and validate markets for new sellers, helping them onboard to our marketplace.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Active Buyers</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number of active buyers in the GigaCloud Marketplace has been increasing every quarter since the first quarter in 2019. We had 441 active buyers in 2019, 1,689 active buyers in 2020, 3,566 active buyers in 2021 and 3,782 active buyers in the 12 months ended March 31, 2022. We view number of active buyers as a key driver of our GigaCloud Marketplace GMV and revenues growth, and a key indicator of our ability to attract and engage buyers in our marketplace. We expect continued growth in the number of active buyers through internal sales force initiatives, referrals by existing users, word-of-mouth and direct visits to our website, however, the growth rate may be slower than the previous years due to inflationary pressure and changes in the global economic conditions.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Spend Per Active Buyer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spend per active buyer in our GigaCloud Marketplace has grown from $80,427 in 2019 to $112,777 in 2020, $116,150 in 2021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$115,845 in the 12 months ended March 31, 2022, representing period-over-period increases of 40.2% and 3.0% and decrease of 4.4%, respectively.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view spend per active buyer as a key driver of our GigaCloud Marketplace GMV and revenues growth. Spend per active buyer is driven by expanding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product categories, increasing the frequency of buyer purchases and growing the average price per purchase. Spend per active buyer decreased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 months ended March 31, 2022, primarily due to slower growth rates in both our GigaCloud Marketplace GMV and number of active buyers during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period due to inflationary pressure and changes in the global economic conditions. We expect spend per active buyer to increase slightly as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continue to expand our product catalog, increase the mix of higher priced products, introduce new value-added services to improve the shopping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experience and enhance our supply chain capabilities for better fulfillment.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Key factors affecting our results of operations include the following: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Attract and Retain Sellers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Sellers in our marketplace are typically manufacturers based in Asia who are able to use our supply chain capabilities to establish overseas sales channels without having to invest in their own logistics or warehouses overseas. We are focused on growing and retaining the number of sellers who choose to list their large parcel merchandise in our marketplace and utilize our logistics network for the shipping and handling of their products.</w:t>
      </w:r>
    </w:p>
    <w:p>
      <w:pPr>
        <w:spacing w:after="0" w:line="14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2020, we had 210 active 3P sellers in our marketplace, compared to 71 active 3P sellers in 2019. This represented a 195.8% year-over-year increase. Our active 3P sellers further increased to 382 and 410 in 2021 and the 12 months ended March 31, 2022, representing a 81.9% and 73.7% period-over-period increase, respectively. We believe this increasing trend will continue because of the growing recognition of our marketplace and our seller-friendly comprehensive logistics network enabling hassle-free delivery of large parcel merchandise.</w:t>
      </w:r>
    </w:p>
    <w:p>
      <w:pPr>
        <w:spacing w:after="0" w:line="17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Using our marketplace, sellers are able to quickly gain access to key global markets in which we operate, including the U.S., the U.K., Germany and Japan. We provide a flat rate program for shipping and handling, and sellers are able to utilize our warehouse space. We also create sales analytics which provide valuable information as sellers determine which products to bring to market.</w:t>
      </w:r>
    </w:p>
    <w:p>
      <w:pPr>
        <w:spacing w:after="0" w:line="184"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We attract new sellers predominantly through organic channels such as referrals by existing users, word-of-mouth, or direct visits to our website. We plan to augment this organic customer acquisition by adding additional sales and marketing employees to enhance seller and buyer growth.</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Attract and Retain Buyers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Buyers in our marketplace are typically resellers based in the U.S. and Europe who procure large parcel merchandise to resell to end customers. Our marketplace is attractive to buyers because we minimize inventory risk from our buyers’ business operations. Our buyers can browse a product in our marketplace and list the product on their preferred ecommerce websites such as Amazon, Wayfair or their own store prior to procuring and storing the product in a warehouse or shop. Once a sale to the end customer takes place, buyers can order the product in our marketplace and we will handle the fulfillment directly to the end customer.</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In 2020, we had 1,689 active buyers in our marketplace with an average $112,777 spend per active buyer, compared to 441 active buyers and an average $80,427 spend per active buyer in 2019. This represented a 283.0% increase in active buyers and 40.2% increase in spend per active buyer in 2020 compared to 2019.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2021, we had 3,566 active buyers in our marketplace with an average $116,150 spend per active buyer, representing a 117.4% increase in active buyers and 3.0% increase in spend per active buyer compared to the previous year. In the 12 months ended March 31, 2022, we had 3,782 active buyers in our marketplace with an average $115,845 spend per active buyer, representing a 76.9% increase in active buyers and 4.4% decrease in spend per active buyer compared to the previous period, primarily attributable to slower growth rates in both our GigaCloud Marketplace GMV and number of active buyers during the period due to inflationary pressure and changes in the global economic conditions.</w:t>
      </w:r>
    </w:p>
    <w:p>
      <w:pPr>
        <w:spacing w:after="0" w:line="176"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In 2021, we launched a remorse protection program, which can be purchased by the buyers in our GigaCloud Marketplace for a fee calculated based on the underlying purchase price of products purchased from our 3P business or 1P sales. The remorse protection program aims to cover a portion of the buyer’s risk when its customers seek compensation or discount on certain items for non-product quality reasons and when actual losses are incurred. The program seeks to compensate the buyers for a portion of these actual losses for up to 60 days from the shipment of the product. We require evidence of actual loss to the products prior to any compensation. The fee we charge is based on our historical experience, buyers’ acceptance and the loss that we are willing to accept versus the benefits of the program. This is a service that is unavailable on most other platforms for bulky items, on which buyers must handle the logistics of product returns themselves or be subject to consumer remorse risks without any recourse. While the remorse protection program represents a small portion of our business operations thus far, it is an attractive service offering to our buyers who face product return risks.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Overall Economic Trends</w:t>
      </w:r>
    </w:p>
    <w:p>
      <w:pPr>
        <w:spacing w:after="0" w:line="225"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The overall economic environment and related changes in customer behavior have a significant impact on our business. Customer spending on our products and services is primarily discretionary, and therefore positive economic conditions generally drive stronger business performance.</w:t>
      </w:r>
    </w:p>
    <w:p>
      <w:pPr>
        <w:spacing w:after="0" w:line="12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Despite the overall economic downturn due to the COVID-19 pandemic, our business operations have benefited from the increased demand in large parcel merchandise as more people stay at home. Furthermore, even though ecommerce penetration in large parcel merchandise has lagged behind smaller packaged goods such as electronics and apparel, large parcel merchandise such as home furniture have experienced accelerated migration online in 2020 according to Frost and Sullivan. This trend is expected to continue, increasing the demand for our marketplace and logistics solutions.</w:t>
      </w:r>
    </w:p>
    <w:p>
      <w:pPr>
        <w:spacing w:after="0" w:line="15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The implementation of U.S. tariffs on Chinese imports has had an impact on our cost of revenues, product demand and sourcing strategies. Furthermore, travel restrictions relating to COVID-19 have substantially reduced global air freight capacities and led to shortages in global ocean freight capacities, pushing global freight rates to reach a record level in 2021. The increases in global freight rates have increased our cost of revenues in 2021, as well as presently in 2022. We have entered into a number of contracts with third party transportation service providers to mitigate the impact against any further increase in ocean freight costs in the short-term. In the U.S., in 2022, as well as presently, we have experienced inflationary pressures across various parts of our business and operations, including, but not limited to rising costs across our supply chain. Other macroeconomic factors that can affect customer spending patterns include employment rates, availability of customer credit, interest rates, tax rates and energy costs.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Broaden Service Offerings</w:t>
      </w:r>
    </w:p>
    <w:p>
      <w:pPr>
        <w:spacing w:after="0" w:line="225"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Our results of operations are also affected by our ability to introduce new service offerings. We have a history of expanding our service offering to enhance our customer experience and to increase revenues. We started our business by primarily selling our own self-procured large parcel merchandise directly to end customers. We expanded our service offerings and launched our GigaCloud Marketplace in 2019, which quickly grew to represent 46.8%, 66.2%, 69.2%, 66.3% and 76.0% of our total revenues in 2019, 2020, 2021 and the three months ended March 31, 2021 and 2022, respectively. We continue to evaluate opportunities to launch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additional services. In 2021, we launched a remorse protection program that covers a portion of the buyer’s risk when its customers seek compensation or discount on certain items for non-product quality reasons and when actual losses are incurred for up to 60 days, which is an attractive service offering to our buyers. As SKUs in our marketplace grows, we are also looking to roll out paid advertising tools that promote products based on search results. Additionally, we are leveraging our data analytics capabilities to develop new tools for users to improve their marketplace experience.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Invest in our Infrastructure and Technology Platform</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Our results of operations depend in part on our ability to invest in our infrastructure and technology platform to cost-effectively meet the demands of our anticipated growth. As of March 31, 2022, our global logistics network included 21 warehouses with an aggregate gross floor area of over four million square feet in four countries. Additionally, we maintain partnerships with several major shipping, trucking and freight service providers.</w:t>
      </w:r>
    </w:p>
    <w:p>
      <w:pPr>
        <w:spacing w:after="0" w:line="187"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Our ability to improve our operational efficiency depends on our ability to invest in our technology infrastructure and platform, including our virtual warehousing solution and AI technology. We successfully improved our warehouse management solutions over the past year.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believe that sales of home furniture and other large parcel items are subject to modest seasonality. We expect the last quarter of the year to be the most active.</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2020, GMV was the largest in the fourth quarter and we experienced increased year-over-year sales volume in the first, second and third quarters. We believe the year-over-year performance was partially due to the impact of COVID-19 and may not be reflective of any seasonal trends in our industry. It is uncertain whether this is an indicator of industry trends going forward.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generate revenues from GigaCloud 3P, GigaCloud 1P and off-platform ecommerce. GigaCloud 3P includes the service revenue generated by facilitating transactions between sellers and buyers in our GigaCloud Marketplace. GigaCloud 1P includes the product revenue generated through the product sales of our inventory through our GigaCloud Marketplace, and off-platform ecommerce includes the product revenue generated from product sales of our inventory to and through third-party ecommerce websites. The following table sets forth the breakdown of our revenues, both in absolute amount and as a percentage of our total revenues, for the periods presented:</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19"/>
          </w:tcPr>
          <w:p>
            <w:pPr>
              <w:jc w:val="right"/>
              <w:ind w:right="640"/>
              <w:spacing w:after="0"/>
              <w:rPr>
                <w:sz w:val="20"/>
                <w:szCs w:val="20"/>
                <w:color w:val="auto"/>
              </w:rPr>
            </w:pPr>
            <w:r>
              <w:rPr>
                <w:rFonts w:ascii="Arial" w:cs="Arial" w:eastAsia="Arial" w:hAnsi="Arial"/>
                <w:sz w:val="14"/>
                <w:szCs w:val="14"/>
                <w:b w:val="1"/>
                <w:bCs w:val="1"/>
                <w:color w:val="auto"/>
                <w:w w:val="96"/>
              </w:rPr>
              <w:t>For the Year Ended 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20"/>
          </w:tcPr>
          <w:p>
            <w:pPr>
              <w:jc w:val="right"/>
              <w:ind w:right="340"/>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gridSpan w:val="2"/>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740" w:type="dxa"/>
            <w:vAlign w:val="bottom"/>
            <w:gridSpan w:val="20"/>
          </w:tcPr>
          <w:p>
            <w:pPr>
              <w:spacing w:after="0" w:line="142" w:lineRule="exact"/>
              <w:rPr>
                <w:sz w:val="20"/>
                <w:szCs w:val="20"/>
                <w:color w:val="auto"/>
              </w:rPr>
            </w:pPr>
            <w:r>
              <w:rPr>
                <w:rFonts w:ascii="Arial" w:cs="Arial" w:eastAsia="Arial" w:hAnsi="Arial"/>
                <w:sz w:val="14"/>
                <w:szCs w:val="14"/>
                <w:b w:val="1"/>
                <w:bCs w:val="1"/>
                <w:color w:val="auto"/>
              </w:rPr>
              <w:t>$ in thousands, except for percentages)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Service revenue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GigaCloud 3P</w:t>
            </w:r>
          </w:p>
        </w:tc>
        <w:tc>
          <w:tcPr>
            <w:tcW w:w="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15,151</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60,130</w:t>
            </w: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8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98,332</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7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20,418</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31,218</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Arial" w:cs="Arial" w:eastAsia="Arial" w:hAnsi="Arial"/>
                <w:sz w:val="18"/>
                <w:szCs w:val="18"/>
                <w:b w:val="1"/>
                <w:bCs w:val="1"/>
                <w:color w:val="auto"/>
              </w:rPr>
              <w:t>Subtotal</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15,151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60,130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21.8</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98,332</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23.7</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20,418</w:t>
            </w:r>
          </w:p>
        </w:tc>
        <w:tc>
          <w:tcPr>
            <w:tcW w:w="1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21.6</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31,218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60"/>
              <w:spacing w:after="0"/>
              <w:rPr>
                <w:sz w:val="20"/>
                <w:szCs w:val="20"/>
                <w:color w:val="auto"/>
              </w:rPr>
            </w:pPr>
            <w:r>
              <w:rPr>
                <w:rFonts w:ascii="Arial" w:cs="Arial" w:eastAsia="Arial" w:hAnsi="Arial"/>
                <w:sz w:val="18"/>
                <w:szCs w:val="18"/>
                <w:color w:val="auto"/>
              </w:rPr>
              <w:t>GigaCloud 1P</w:t>
            </w:r>
          </w:p>
        </w:tc>
        <w:tc>
          <w:tcPr>
            <w:tcW w:w="820" w:type="dxa"/>
            <w:vAlign w:val="bottom"/>
            <w:gridSpan w:val="5"/>
          </w:tcPr>
          <w:p>
            <w:pPr>
              <w:jc w:val="right"/>
              <w:ind w:right="120"/>
              <w:spacing w:after="0"/>
              <w:rPr>
                <w:sz w:val="20"/>
                <w:szCs w:val="20"/>
                <w:color w:val="auto"/>
              </w:rPr>
            </w:pPr>
            <w:r>
              <w:rPr>
                <w:rFonts w:ascii="Arial" w:cs="Arial" w:eastAsia="Arial" w:hAnsi="Arial"/>
                <w:sz w:val="18"/>
                <w:szCs w:val="18"/>
                <w:color w:val="auto"/>
              </w:rPr>
              <w:t>42,141</w:t>
            </w:r>
          </w:p>
        </w:tc>
        <w:tc>
          <w:tcPr>
            <w:tcW w:w="700" w:type="dxa"/>
            <w:vAlign w:val="bottom"/>
            <w:gridSpan w:val="5"/>
          </w:tcPr>
          <w:p>
            <w:pPr>
              <w:jc w:val="right"/>
              <w:ind w:right="160"/>
              <w:spacing w:after="0"/>
              <w:rPr>
                <w:sz w:val="20"/>
                <w:szCs w:val="20"/>
                <w:color w:val="auto"/>
              </w:rPr>
            </w:pPr>
            <w:r>
              <w:rPr>
                <w:rFonts w:ascii="Arial" w:cs="Arial" w:eastAsia="Arial" w:hAnsi="Arial"/>
                <w:sz w:val="18"/>
                <w:szCs w:val="18"/>
                <w:color w:val="auto"/>
              </w:rPr>
              <w:t>34.4</w:t>
            </w:r>
          </w:p>
        </w:tc>
        <w:tc>
          <w:tcPr>
            <w:tcW w:w="840" w:type="dxa"/>
            <w:vAlign w:val="bottom"/>
            <w:gridSpan w:val="5"/>
          </w:tcPr>
          <w:p>
            <w:pPr>
              <w:jc w:val="right"/>
              <w:ind w:right="140"/>
              <w:spacing w:after="0"/>
              <w:rPr>
                <w:sz w:val="20"/>
                <w:szCs w:val="20"/>
                <w:color w:val="auto"/>
              </w:rPr>
            </w:pPr>
            <w:r>
              <w:rPr>
                <w:rFonts w:ascii="Arial" w:cs="Arial" w:eastAsia="Arial" w:hAnsi="Arial"/>
                <w:sz w:val="18"/>
                <w:szCs w:val="18"/>
                <w:color w:val="auto"/>
              </w:rPr>
              <w:t>122,102</w:t>
            </w:r>
          </w:p>
        </w:tc>
        <w:tc>
          <w:tcPr>
            <w:tcW w:w="680" w:type="dxa"/>
            <w:vAlign w:val="bottom"/>
            <w:gridSpan w:val="5"/>
          </w:tcPr>
          <w:p>
            <w:pPr>
              <w:jc w:val="right"/>
              <w:ind w:right="160"/>
              <w:spacing w:after="0"/>
              <w:rPr>
                <w:sz w:val="20"/>
                <w:szCs w:val="20"/>
                <w:color w:val="auto"/>
              </w:rPr>
            </w:pPr>
            <w:r>
              <w:rPr>
                <w:rFonts w:ascii="Arial" w:cs="Arial" w:eastAsia="Arial" w:hAnsi="Arial"/>
                <w:sz w:val="18"/>
                <w:szCs w:val="18"/>
                <w:color w:val="auto"/>
              </w:rPr>
              <w:t>44.4</w:t>
            </w:r>
          </w:p>
        </w:tc>
        <w:tc>
          <w:tcPr>
            <w:tcW w:w="820" w:type="dxa"/>
            <w:vAlign w:val="bottom"/>
            <w:gridSpan w:val="6"/>
          </w:tcPr>
          <w:p>
            <w:pPr>
              <w:jc w:val="right"/>
              <w:ind w:right="120"/>
              <w:spacing w:after="0"/>
              <w:rPr>
                <w:sz w:val="20"/>
                <w:szCs w:val="20"/>
                <w:color w:val="auto"/>
              </w:rPr>
            </w:pPr>
            <w:r>
              <w:rPr>
                <w:rFonts w:ascii="Arial" w:cs="Arial" w:eastAsia="Arial" w:hAnsi="Arial"/>
                <w:sz w:val="18"/>
                <w:szCs w:val="18"/>
                <w:color w:val="auto"/>
              </w:rPr>
              <w:t>188,266</w:t>
            </w: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45.5</w:t>
            </w:r>
          </w:p>
        </w:tc>
        <w:tc>
          <w:tcPr>
            <w:tcW w:w="760" w:type="dxa"/>
            <w:vAlign w:val="bottom"/>
            <w:gridSpan w:val="6"/>
          </w:tcPr>
          <w:p>
            <w:pPr>
              <w:jc w:val="right"/>
              <w:ind w:right="160"/>
              <w:spacing w:after="0"/>
              <w:rPr>
                <w:sz w:val="20"/>
                <w:szCs w:val="20"/>
                <w:color w:val="auto"/>
              </w:rPr>
            </w:pPr>
            <w:r>
              <w:rPr>
                <w:rFonts w:ascii="Arial" w:cs="Arial" w:eastAsia="Arial" w:hAnsi="Arial"/>
                <w:sz w:val="18"/>
                <w:szCs w:val="18"/>
                <w:color w:val="auto"/>
              </w:rPr>
              <w:t>42,259</w:t>
            </w:r>
          </w:p>
        </w:tc>
        <w:tc>
          <w:tcPr>
            <w:tcW w:w="2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44.7</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54,273</w:t>
            </w: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Off-platform ecommerce</w:t>
            </w:r>
          </w:p>
        </w:tc>
        <w:tc>
          <w:tcPr>
            <w:tcW w:w="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65,004</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93,246</w:t>
            </w: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8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127,599</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7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31,851</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7</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26,951</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Arial" w:cs="Arial" w:eastAsia="Arial" w:hAnsi="Arial"/>
                <w:sz w:val="18"/>
                <w:szCs w:val="18"/>
                <w:b w:val="1"/>
                <w:bCs w:val="1"/>
                <w:color w:val="auto"/>
              </w:rPr>
              <w:t>Subtotal</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107,145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87.6</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215,348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78.2</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315,865</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76.3</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74,110</w:t>
            </w:r>
          </w:p>
        </w:tc>
        <w:tc>
          <w:tcPr>
            <w:tcW w:w="1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78.4</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81,224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122,296</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275,478</w:t>
            </w: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414,197</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7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94,528</w:t>
            </w: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112,442</w:t>
            </w: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Revenue—GigaCloud 3P</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derive service revenues primarily through the various 3P activities of sellers and buyers in the GigaCloud Marketplace. When a seller and buyer enter into a transaction in GigaCloud Marketplace, we earn a percentage commission depending on the transaction value. The standard commission ranges between 1% and 5%. Additionally, we charge the sellers a flat, per day warehouse fee for storage of inventory in our warehouses, which varies by the size of the products. We charge buyers a flat fee for last-mile delivery services for delivery of products to end customers directly from our warehouses, which varies by the weight and destination of the product. We charge a fulfillment fee for other freight services such as delivery of products via ocean transportation.</w:t>
      </w:r>
    </w:p>
    <w:p>
      <w:pPr>
        <w:spacing w:after="0" w:line="192"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From time to time in 2019, 2020, 2021 and the three months ended March 31, 2022, when we had excess fulfillment capacity, we also provided third-party logistics services to customers to help fulfill their large parcel transportation in the U.S. leveraging our extensive logistics network. As we continue to grow our GigaCloud Marketplace, we expect to dedicate our logistics capacity to customers using our marketplace and to products sold on our own marketplace, and will opportunistically provide third-party logistics services when there is excess capacity within our network.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Revenue—GigaCloud 1P</w:t>
      </w:r>
    </w:p>
    <w:p>
      <w:pPr>
        <w:spacing w:after="0" w:line="225" w:lineRule="exact"/>
        <w:rPr>
          <w:sz w:val="20"/>
          <w:szCs w:val="20"/>
          <w:color w:val="auto"/>
        </w:rPr>
      </w:pPr>
    </w:p>
    <w:p>
      <w:pPr>
        <w:ind w:left="120" w:right="160" w:firstLine="881"/>
        <w:spacing w:after="0" w:line="342" w:lineRule="auto"/>
        <w:rPr>
          <w:sz w:val="20"/>
          <w:szCs w:val="20"/>
          <w:color w:val="auto"/>
        </w:rPr>
      </w:pPr>
      <w:r>
        <w:rPr>
          <w:rFonts w:ascii="Arial" w:cs="Arial" w:eastAsia="Arial" w:hAnsi="Arial"/>
          <w:sz w:val="16"/>
          <w:szCs w:val="16"/>
          <w:color w:val="auto"/>
        </w:rPr>
        <w:t>We derive product revenues from the sales of products through selling our own inventory on our marketplace. This 1P selling creates more products for buyers, gives us insights into seller needs, provides us with proprietary data and increases the velocity of sales in our marketplace.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Revenue—Off-platform Ecommerce</w:t>
      </w:r>
    </w:p>
    <w:p>
      <w:pPr>
        <w:spacing w:after="0" w:line="225"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We derive product revenues primarily from the sales of our own inventory through one of the two sales models, which include (i) product sales made to third-party ecommerce websites, or Product Sales to B, such as Wayfair and Walmart; and (ii) product sales to individual customers through third-party ecommerce websites, or Product Sales to C, such as Rakuten and Amazon, where end customers can visit our online stores and purchase directly from us. Regarding Product Sales to B, as expenses charged by these websites are not in exchange for a distinct good or service, therefore, the payments to these websites are not recognized as expenses but recorded net of revenues. With respects to Product Sales to C, expenses incurred for product sales made through these websites are recorded as selling and marketing expenses.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Our cost of revenues primarily consists of cost of services and cost of product sales. The following table sets forth the breakdown of our cost of revenues, both in absolute amount and as a percentage of our total revenues,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1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19"/>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10"/>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7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0"/>
              </w:rPr>
              <w:t>($ in</w:t>
            </w:r>
          </w:p>
        </w:tc>
        <w:tc>
          <w:tcPr>
            <w:tcW w:w="2420" w:type="dxa"/>
            <w:vAlign w:val="bottom"/>
            <w:gridSpan w:val="19"/>
          </w:tcPr>
          <w:p>
            <w:pPr>
              <w:jc w:val="right"/>
              <w:ind w:right="360"/>
              <w:spacing w:after="0" w:line="142" w:lineRule="exact"/>
              <w:rPr>
                <w:sz w:val="20"/>
                <w:szCs w:val="20"/>
                <w:color w:val="auto"/>
              </w:rPr>
            </w:pPr>
            <w:r>
              <w:rPr>
                <w:rFonts w:ascii="Arial" w:cs="Arial" w:eastAsia="Arial" w:hAnsi="Arial"/>
                <w:sz w:val="14"/>
                <w:szCs w:val="14"/>
                <w:b w:val="1"/>
                <w:bCs w:val="1"/>
                <w:color w:val="auto"/>
                <w:w w:val="86"/>
              </w:rPr>
              <w:t>thousands, except for percentages)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Services</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9,697</w:t>
            </w:r>
          </w:p>
        </w:tc>
        <w:tc>
          <w:tcPr>
            <w:tcW w:w="60" w:type="dxa"/>
            <w:vAlign w:val="bottom"/>
          </w:tcPr>
          <w:p>
            <w:pPr>
              <w:spacing w:after="0"/>
              <w:rPr>
                <w:sz w:val="18"/>
                <w:szCs w:val="18"/>
                <w:color w:val="auto"/>
              </w:rPr>
            </w:pPr>
          </w:p>
        </w:tc>
        <w:tc>
          <w:tcPr>
            <w:tcW w:w="640" w:type="dxa"/>
            <w:vAlign w:val="bottom"/>
            <w:gridSpan w:val="5"/>
          </w:tcPr>
          <w:p>
            <w:pPr>
              <w:jc w:val="right"/>
              <w:ind w:right="180"/>
              <w:spacing w:after="0"/>
              <w:rPr>
                <w:sz w:val="20"/>
                <w:szCs w:val="20"/>
                <w:color w:val="auto"/>
              </w:rPr>
            </w:pPr>
            <w:r>
              <w:rPr>
                <w:rFonts w:ascii="Arial" w:cs="Arial" w:eastAsia="Arial" w:hAnsi="Arial"/>
                <w:sz w:val="18"/>
                <w:szCs w:val="18"/>
                <w:color w:val="auto"/>
              </w:rPr>
              <w:t>7.9</w:t>
            </w: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37,147</w:t>
            </w:r>
          </w:p>
        </w:tc>
        <w:tc>
          <w:tcPr>
            <w:tcW w:w="640" w:type="dxa"/>
            <w:vAlign w:val="bottom"/>
            <w:gridSpan w:val="5"/>
          </w:tcPr>
          <w:p>
            <w:pPr>
              <w:jc w:val="right"/>
              <w:ind w:right="160"/>
              <w:spacing w:after="0"/>
              <w:rPr>
                <w:sz w:val="20"/>
                <w:szCs w:val="20"/>
                <w:color w:val="auto"/>
              </w:rPr>
            </w:pPr>
            <w:r>
              <w:rPr>
                <w:rFonts w:ascii="Arial" w:cs="Arial" w:eastAsia="Arial" w:hAnsi="Arial"/>
                <w:sz w:val="18"/>
                <w:szCs w:val="18"/>
                <w:color w:val="auto"/>
              </w:rPr>
              <w:t>13.5</w:t>
            </w:r>
          </w:p>
        </w:tc>
        <w:tc>
          <w:tcPr>
            <w:tcW w:w="780" w:type="dxa"/>
            <w:vAlign w:val="bottom"/>
            <w:gridSpan w:val="6"/>
          </w:tcPr>
          <w:p>
            <w:pPr>
              <w:jc w:val="right"/>
              <w:ind w:right="100"/>
              <w:spacing w:after="0"/>
              <w:rPr>
                <w:sz w:val="20"/>
                <w:szCs w:val="20"/>
                <w:color w:val="auto"/>
              </w:rPr>
            </w:pPr>
            <w:r>
              <w:rPr>
                <w:rFonts w:ascii="Arial" w:cs="Arial" w:eastAsia="Arial" w:hAnsi="Arial"/>
                <w:sz w:val="18"/>
                <w:szCs w:val="18"/>
                <w:color w:val="auto"/>
              </w:rPr>
              <w:t>84,723</w:t>
            </w:r>
          </w:p>
        </w:tc>
        <w:tc>
          <w:tcPr>
            <w:tcW w:w="640" w:type="dxa"/>
            <w:vAlign w:val="bottom"/>
            <w:gridSpan w:val="5"/>
          </w:tcPr>
          <w:p>
            <w:pPr>
              <w:jc w:val="right"/>
              <w:ind w:right="160"/>
              <w:spacing w:after="0"/>
              <w:rPr>
                <w:sz w:val="20"/>
                <w:szCs w:val="20"/>
                <w:color w:val="auto"/>
              </w:rPr>
            </w:pPr>
            <w:r>
              <w:rPr>
                <w:rFonts w:ascii="Arial" w:cs="Arial" w:eastAsia="Arial" w:hAnsi="Arial"/>
                <w:sz w:val="18"/>
                <w:szCs w:val="18"/>
                <w:color w:val="auto"/>
              </w:rPr>
              <w:t>20.5</w:t>
            </w:r>
          </w:p>
        </w:tc>
        <w:tc>
          <w:tcPr>
            <w:tcW w:w="720" w:type="dxa"/>
            <w:vAlign w:val="bottom"/>
            <w:gridSpan w:val="6"/>
          </w:tcPr>
          <w:p>
            <w:pPr>
              <w:ind w:left="100"/>
              <w:spacing w:after="0"/>
              <w:rPr>
                <w:sz w:val="20"/>
                <w:szCs w:val="20"/>
                <w:color w:val="auto"/>
              </w:rPr>
            </w:pPr>
            <w:r>
              <w:rPr>
                <w:rFonts w:ascii="Arial" w:cs="Arial" w:eastAsia="Arial" w:hAnsi="Arial"/>
                <w:sz w:val="18"/>
                <w:szCs w:val="18"/>
                <w:color w:val="auto"/>
              </w:rPr>
              <w:t>14,146</w:t>
            </w: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15.0</w:t>
            </w:r>
          </w:p>
        </w:tc>
        <w:tc>
          <w:tcPr>
            <w:tcW w:w="760" w:type="dxa"/>
            <w:vAlign w:val="bottom"/>
            <w:gridSpan w:val="5"/>
          </w:tcPr>
          <w:p>
            <w:pPr>
              <w:jc w:val="right"/>
              <w:ind w:right="140"/>
              <w:spacing w:after="0"/>
              <w:rPr>
                <w:sz w:val="20"/>
                <w:szCs w:val="20"/>
                <w:color w:val="auto"/>
              </w:rPr>
            </w:pPr>
            <w:r>
              <w:rPr>
                <w:rFonts w:ascii="Arial" w:cs="Arial" w:eastAsia="Arial" w:hAnsi="Arial"/>
                <w:sz w:val="18"/>
                <w:szCs w:val="18"/>
                <w:color w:val="auto"/>
              </w:rPr>
              <w:t>29,201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ind w:lef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90,405</w:t>
            </w:r>
          </w:p>
        </w:tc>
        <w:tc>
          <w:tcPr>
            <w:tcW w:w="6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74.0</w:t>
            </w: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163,215</w:t>
            </w:r>
          </w:p>
        </w:tc>
        <w:tc>
          <w:tcPr>
            <w:tcW w:w="6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c>
          <w:tcPr>
            <w:tcW w:w="7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239,877</w:t>
            </w:r>
          </w:p>
        </w:tc>
        <w:tc>
          <w:tcPr>
            <w:tcW w:w="6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7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59,494</w:t>
            </w:r>
          </w:p>
        </w:tc>
        <w:tc>
          <w:tcPr>
            <w:tcW w:w="6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7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66,371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100,102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81.9</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200,362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72.7</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324,600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78.4</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83"/>
              </w:rPr>
              <w:t>73,640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77.9</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95,572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5"/>
              </w:rPr>
              <w:t>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Services</w:t>
      </w:r>
    </w:p>
    <w:p>
      <w:pPr>
        <w:spacing w:after="0" w:line="225"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Cost of services primarily consists of the shipping and handling costs, a portion of warehouse rental expenses, as well as the costs associated with the operation of the GigaCloud Marketplace primarily including IT staff costs and expenses incurred for the maintenance of IT infrastructure.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Sales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Cost of product sales primarily consists of the purchase price of merchandise, shipping and handling costs for self-owned merchandise, warehouse rental expenses excluding the portion allocated to cost of service revenue, packaging fees and personnel related costs including any staff costs related to selling our own 1P products through GigaCloud Marketplace. The purchase price of merchandise included the shipping and handling costs to procure our merchandise, which have increased in 2020 as travel restrictions induced by COVID-19 have substantially reduced global air freight capacities and led to shortages in global ocean freight capacities, pushing global freight rates to reach a record level in 2021. In the U.S., in 2022, as well as presently, we have experienced inflationary pressures across various parts of our business and operations, including, but not limited to rising costs across our supply chain.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a breakdown of our gross profit and gross profit margin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For the Year Ended December 31,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tcBorders>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w w:val="74"/>
              </w:rPr>
              <w:t>2021</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 in thousands, except for percentages)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22,194</w:t>
            </w:r>
          </w:p>
        </w:tc>
        <w:tc>
          <w:tcPr>
            <w:tcW w:w="2080" w:type="dxa"/>
            <w:vAlign w:val="bottom"/>
            <w:gridSpan w:val="3"/>
            <w:shd w:val="clear" w:color="auto" w:fill="CCEEFF"/>
          </w:tcPr>
          <w:p>
            <w:pPr>
              <w:jc w:val="right"/>
              <w:ind w:right="648"/>
              <w:spacing w:after="0"/>
              <w:rPr>
                <w:sz w:val="20"/>
                <w:szCs w:val="20"/>
                <w:color w:val="auto"/>
              </w:rPr>
            </w:pPr>
            <w:r>
              <w:rPr>
                <w:rFonts w:ascii="Arial" w:cs="Arial" w:eastAsia="Arial" w:hAnsi="Arial"/>
                <w:sz w:val="18"/>
                <w:szCs w:val="18"/>
                <w:color w:val="auto"/>
              </w:rPr>
              <w:t>75,116</w:t>
            </w:r>
          </w:p>
        </w:tc>
        <w:tc>
          <w:tcPr>
            <w:tcW w:w="17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89,597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20,888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Gross margin (%)</w:t>
            </w:r>
          </w:p>
        </w:tc>
        <w:tc>
          <w:tcPr>
            <w:tcW w:w="2200" w:type="dxa"/>
            <w:vAlign w:val="bottom"/>
            <w:gridSpan w:val="3"/>
          </w:tcPr>
          <w:p>
            <w:pPr>
              <w:jc w:val="right"/>
              <w:ind w:right="180"/>
              <w:spacing w:after="0"/>
              <w:rPr>
                <w:sz w:val="20"/>
                <w:szCs w:val="20"/>
                <w:color w:val="auto"/>
              </w:rPr>
            </w:pPr>
            <w:r>
              <w:rPr>
                <w:rFonts w:ascii="Arial" w:cs="Arial" w:eastAsia="Arial" w:hAnsi="Arial"/>
                <w:sz w:val="18"/>
                <w:szCs w:val="18"/>
                <w:color w:val="auto"/>
              </w:rPr>
              <w:t>18.1%</w:t>
            </w:r>
          </w:p>
        </w:tc>
        <w:tc>
          <w:tcPr>
            <w:tcW w:w="2080" w:type="dxa"/>
            <w:vAlign w:val="bottom"/>
            <w:gridSpan w:val="3"/>
          </w:tcPr>
          <w:p>
            <w:pPr>
              <w:jc w:val="right"/>
              <w:ind w:right="488"/>
              <w:spacing w:after="0"/>
              <w:rPr>
                <w:sz w:val="20"/>
                <w:szCs w:val="20"/>
                <w:color w:val="auto"/>
              </w:rPr>
            </w:pPr>
            <w:r>
              <w:rPr>
                <w:rFonts w:ascii="Arial" w:cs="Arial" w:eastAsia="Arial" w:hAnsi="Arial"/>
                <w:sz w:val="18"/>
                <w:szCs w:val="18"/>
                <w:color w:val="auto"/>
              </w:rPr>
              <w:t>27.3%</w:t>
            </w:r>
          </w:p>
        </w:tc>
        <w:tc>
          <w:tcPr>
            <w:tcW w:w="1780" w:type="dxa"/>
            <w:vAlign w:val="bottom"/>
            <w:gridSpan w:val="3"/>
          </w:tcPr>
          <w:p>
            <w:pPr>
              <w:jc w:val="right"/>
              <w:ind w:right="760"/>
              <w:spacing w:after="0"/>
              <w:rPr>
                <w:sz w:val="20"/>
                <w:szCs w:val="20"/>
                <w:color w:val="auto"/>
              </w:rPr>
            </w:pPr>
            <w:r>
              <w:rPr>
                <w:rFonts w:ascii="Arial" w:cs="Arial" w:eastAsia="Arial" w:hAnsi="Arial"/>
                <w:sz w:val="18"/>
                <w:szCs w:val="18"/>
                <w:color w:val="auto"/>
              </w:rPr>
              <w:t>21.6%</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22.1%</w:t>
            </w: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Our operating expenses consist of selling and marketing expenses and general and administrative expenses. The following table sets forth the breakdown of our operating expenses, both in absolute amount and as a percentage of our total revenues, for the periods presented:</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17"/>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 the Year Ended 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14"/>
          </w:tcPr>
          <w:p>
            <w:pPr>
              <w:spacing w:after="0"/>
              <w:rPr>
                <w:sz w:val="20"/>
                <w:szCs w:val="20"/>
                <w:color w:val="auto"/>
              </w:rPr>
            </w:pPr>
            <w:r>
              <w:rPr>
                <w:rFonts w:ascii="Arial" w:cs="Arial" w:eastAsia="Arial" w:hAnsi="Arial"/>
                <w:sz w:val="14"/>
                <w:szCs w:val="14"/>
                <w:b w:val="1"/>
                <w:bCs w:val="1"/>
                <w:color w:val="auto"/>
                <w:w w:val="93"/>
              </w:rPr>
              <w:t>For the 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17"/>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420" w:type="dxa"/>
            <w:vAlign w:val="bottom"/>
            <w:gridSpan w:val="3"/>
            <w:vMerge w:val="restart"/>
          </w:tcPr>
          <w:p>
            <w:pPr>
              <w:spacing w:after="0"/>
              <w:rPr>
                <w:sz w:val="10"/>
                <w:szCs w:val="10"/>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4"/>
          </w:tcPr>
          <w:p>
            <w:pPr>
              <w:jc w:val="center"/>
              <w:ind w:left="296"/>
              <w:spacing w:after="0" w:line="119"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Restated*</w:t>
            </w:r>
          </w:p>
        </w:tc>
        <w:tc>
          <w:tcPr>
            <w:tcW w:w="7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7"/>
          </w:tcPr>
          <w:p>
            <w:pPr>
              <w:ind w:left="20"/>
              <w:spacing w:after="0"/>
              <w:rPr>
                <w:sz w:val="20"/>
                <w:szCs w:val="20"/>
                <w:color w:val="auto"/>
              </w:rPr>
            </w:pPr>
            <w:r>
              <w:rPr>
                <w:rFonts w:ascii="Arial" w:cs="Arial" w:eastAsia="Arial" w:hAnsi="Arial"/>
                <w:sz w:val="14"/>
                <w:szCs w:val="14"/>
                <w:b w:val="1"/>
                <w:bCs w:val="1"/>
                <w:color w:val="auto"/>
              </w:rPr>
              <w:t>Restated*</w:t>
            </w:r>
          </w:p>
        </w:tc>
        <w:tc>
          <w:tcPr>
            <w:tcW w:w="6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w:t>
            </w: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gridSpan w:val="2"/>
          </w:tcPr>
          <w:p>
            <w:pPr>
              <w:ind w:left="260"/>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3"/>
              </w:rPr>
              <w:t>($ in</w:t>
            </w:r>
          </w:p>
        </w:tc>
        <w:tc>
          <w:tcPr>
            <w:tcW w:w="140" w:type="dxa"/>
            <w:vAlign w:val="bottom"/>
            <w:shd w:val="clear" w:color="auto" w:fill="000000"/>
          </w:tcPr>
          <w:p>
            <w:pPr>
              <w:spacing w:after="0" w:line="20" w:lineRule="exact"/>
              <w:rPr>
                <w:sz w:val="1"/>
                <w:szCs w:val="1"/>
                <w:color w:val="auto"/>
              </w:rPr>
            </w:pPr>
          </w:p>
        </w:tc>
        <w:tc>
          <w:tcPr>
            <w:tcW w:w="5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except for</w:t>
            </w:r>
          </w:p>
        </w:tc>
        <w:tc>
          <w:tcPr>
            <w:tcW w:w="1040" w:type="dxa"/>
            <w:vAlign w:val="bottom"/>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w w:val="77"/>
              </w:rPr>
              <w:t>percentages)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12,680</w:t>
            </w:r>
          </w:p>
        </w:tc>
        <w:tc>
          <w:tcPr>
            <w:tcW w:w="120" w:type="dxa"/>
            <w:vAlign w:val="bottom"/>
          </w:tcPr>
          <w:p>
            <w:pPr>
              <w:spacing w:after="0"/>
              <w:rPr>
                <w:sz w:val="18"/>
                <w:szCs w:val="18"/>
                <w:color w:val="auto"/>
              </w:rPr>
            </w:pPr>
          </w:p>
        </w:tc>
        <w:tc>
          <w:tcPr>
            <w:tcW w:w="580" w:type="dxa"/>
            <w:vAlign w:val="bottom"/>
            <w:gridSpan w:val="5"/>
          </w:tcPr>
          <w:p>
            <w:pPr>
              <w:jc w:val="right"/>
              <w:ind w:right="160"/>
              <w:spacing w:after="0"/>
              <w:rPr>
                <w:sz w:val="20"/>
                <w:szCs w:val="20"/>
                <w:color w:val="auto"/>
              </w:rPr>
            </w:pPr>
            <w:r>
              <w:rPr>
                <w:rFonts w:ascii="Arial" w:cs="Arial" w:eastAsia="Arial" w:hAnsi="Arial"/>
                <w:sz w:val="18"/>
                <w:szCs w:val="18"/>
                <w:color w:val="auto"/>
              </w:rPr>
              <w:t>10.4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22,215</w:t>
            </w:r>
          </w:p>
        </w:tc>
        <w:tc>
          <w:tcPr>
            <w:tcW w:w="700" w:type="dxa"/>
            <w:vAlign w:val="bottom"/>
            <w:gridSpan w:val="5"/>
          </w:tcPr>
          <w:p>
            <w:pPr>
              <w:jc w:val="right"/>
              <w:ind w:right="160"/>
              <w:spacing w:after="0"/>
              <w:rPr>
                <w:sz w:val="20"/>
                <w:szCs w:val="20"/>
                <w:color w:val="auto"/>
              </w:rPr>
            </w:pPr>
            <w:r>
              <w:rPr>
                <w:rFonts w:ascii="Arial" w:cs="Arial" w:eastAsia="Arial" w:hAnsi="Arial"/>
                <w:sz w:val="18"/>
                <w:szCs w:val="18"/>
                <w:color w:val="auto"/>
              </w:rPr>
              <w:t>8.1</w:t>
            </w: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25,728</w:t>
            </w: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6.2</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7,359</w:t>
            </w:r>
          </w:p>
        </w:tc>
        <w:tc>
          <w:tcPr>
            <w:tcW w:w="560" w:type="dxa"/>
            <w:vAlign w:val="bottom"/>
            <w:gridSpan w:val="4"/>
          </w:tcPr>
          <w:p>
            <w:pPr>
              <w:jc w:val="right"/>
              <w:ind w:right="160"/>
              <w:spacing w:after="0"/>
              <w:rPr>
                <w:sz w:val="20"/>
                <w:szCs w:val="20"/>
                <w:color w:val="auto"/>
              </w:rPr>
            </w:pPr>
            <w:r>
              <w:rPr>
                <w:rFonts w:ascii="Arial" w:cs="Arial" w:eastAsia="Arial" w:hAnsi="Arial"/>
                <w:sz w:val="18"/>
                <w:szCs w:val="18"/>
                <w:color w:val="auto"/>
              </w:rPr>
              <w:t>7.8</w:t>
            </w:r>
          </w:p>
        </w:tc>
        <w:tc>
          <w:tcPr>
            <w:tcW w:w="660" w:type="dxa"/>
            <w:vAlign w:val="bottom"/>
            <w:gridSpan w:val="5"/>
          </w:tcPr>
          <w:p>
            <w:pPr>
              <w:jc w:val="right"/>
              <w:ind w:right="140"/>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ind w:lef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4,712</w:t>
            </w:r>
          </w:p>
        </w:tc>
        <w:tc>
          <w:tcPr>
            <w:tcW w:w="12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7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24,516</w:t>
            </w:r>
          </w:p>
        </w:tc>
        <w:tc>
          <w:tcPr>
            <w:tcW w:w="6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2,941</w:t>
            </w:r>
          </w:p>
        </w:tc>
        <w:tc>
          <w:tcPr>
            <w:tcW w:w="5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6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3,827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17,392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14.2</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30,932</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50,244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10,300</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9,389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79"/>
              </w:rPr>
              <w:t>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540" w:right="560" w:hanging="424"/>
        <w:spacing w:after="0" w:line="25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left="120" w:right="140" w:firstLine="881"/>
        <w:spacing w:after="0" w:line="311" w:lineRule="auto"/>
        <w:rPr>
          <w:sz w:val="20"/>
          <w:szCs w:val="20"/>
          <w:color w:val="auto"/>
        </w:rPr>
      </w:pPr>
      <w:r>
        <w:rPr>
          <w:rFonts w:ascii="Arial" w:cs="Arial" w:eastAsia="Arial" w:hAnsi="Arial"/>
          <w:sz w:val="16"/>
          <w:szCs w:val="16"/>
          <w:color w:val="auto"/>
        </w:rPr>
        <w:t>Our selling and marketing expenses primarily consist of payroll, employees benefits and related expenses for personnel engaged in selling and marketing activities, platform commission, advertising and promotion expenses, traveling and others. The following table sets forth the breakdown of our selling and marketing expenses, both in absolute amount and as a percentage of our total revenues, for the periods presented:</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15"/>
            <w:vMerge w:val="restart"/>
          </w:tcPr>
          <w:p>
            <w:pPr>
              <w:jc w:val="right"/>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340" w:type="dxa"/>
            <w:vAlign w:val="bottom"/>
            <w:gridSpan w:val="3"/>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0"/>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Borders>
              <w:bottom w:val="single" w:sz="8" w:color="auto"/>
            </w:tcBorders>
            <w:gridSpan w:val="15"/>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7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5"/>
          </w:tcPr>
          <w:p>
            <w:pPr>
              <w:jc w:val="center"/>
              <w:ind w:left="213"/>
              <w:spacing w:after="0" w:line="119"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5"/>
              </w:rPr>
              <w:t>Restated*</w:t>
            </w:r>
          </w:p>
        </w:tc>
        <w:tc>
          <w:tcPr>
            <w:tcW w:w="6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gridSpan w:val="3"/>
            <w:vMerge w:val="restart"/>
          </w:tcPr>
          <w:p>
            <w:pPr>
              <w:jc w:val="center"/>
              <w:ind w:right="10"/>
              <w:spacing w:after="0"/>
              <w:rPr>
                <w:sz w:val="20"/>
                <w:szCs w:val="20"/>
                <w:color w:val="auto"/>
              </w:rPr>
            </w:pPr>
            <w:r>
              <w:rPr>
                <w:rFonts w:ascii="Arial" w:cs="Arial" w:eastAsia="Arial" w:hAnsi="Arial"/>
                <w:sz w:val="14"/>
                <w:szCs w:val="14"/>
                <w:b w:val="1"/>
                <w:bCs w:val="1"/>
                <w:color w:val="auto"/>
                <w:w w:val="97"/>
              </w:rPr>
              <w:t>($ in</w:t>
            </w:r>
          </w:p>
        </w:tc>
        <w:tc>
          <w:tcPr>
            <w:tcW w:w="140" w:type="dxa"/>
            <w:vAlign w:val="bottom"/>
          </w:tcPr>
          <w:p>
            <w:pPr>
              <w:spacing w:after="0" w:line="142" w:lineRule="exact"/>
              <w:rPr>
                <w:sz w:val="20"/>
                <w:szCs w:val="20"/>
                <w:color w:val="auto"/>
              </w:rPr>
            </w:pPr>
            <w:r>
              <w:rPr>
                <w:rFonts w:ascii="Arial" w:cs="Arial" w:eastAsia="Arial" w:hAnsi="Arial"/>
                <w:sz w:val="14"/>
                <w:szCs w:val="14"/>
                <w:b w:val="1"/>
                <w:bCs w:val="1"/>
                <w:color w:val="auto"/>
                <w:w w:val="79"/>
              </w:rPr>
              <w:t>%</w:t>
            </w:r>
          </w:p>
        </w:tc>
        <w:tc>
          <w:tcPr>
            <w:tcW w:w="24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7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200" w:type="dxa"/>
            <w:vAlign w:val="bottom"/>
            <w:gridSpan w:val="17"/>
          </w:tcPr>
          <w:p>
            <w:pPr>
              <w:spacing w:after="0" w:line="142" w:lineRule="exact"/>
              <w:rPr>
                <w:sz w:val="20"/>
                <w:szCs w:val="20"/>
                <w:color w:val="auto"/>
              </w:rPr>
            </w:pPr>
            <w:r>
              <w:rPr>
                <w:rFonts w:ascii="Arial" w:cs="Arial" w:eastAsia="Arial" w:hAnsi="Arial"/>
                <w:sz w:val="14"/>
                <w:szCs w:val="14"/>
                <w:b w:val="1"/>
                <w:bCs w:val="1"/>
                <w:color w:val="auto"/>
                <w:w w:val="92"/>
              </w:rPr>
              <w:t>thousands, except for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Staff cost</w:t>
            </w:r>
          </w:p>
        </w:tc>
        <w:tc>
          <w:tcPr>
            <w:tcW w:w="720" w:type="dxa"/>
            <w:vAlign w:val="bottom"/>
            <w:gridSpan w:val="5"/>
          </w:tcPr>
          <w:p>
            <w:pPr>
              <w:jc w:val="right"/>
              <w:ind w:right="140"/>
              <w:spacing w:after="0"/>
              <w:rPr>
                <w:sz w:val="20"/>
                <w:szCs w:val="20"/>
                <w:color w:val="auto"/>
              </w:rPr>
            </w:pPr>
            <w:r>
              <w:rPr>
                <w:rFonts w:ascii="Arial" w:cs="Arial" w:eastAsia="Arial" w:hAnsi="Arial"/>
                <w:sz w:val="18"/>
                <w:szCs w:val="18"/>
                <w:color w:val="auto"/>
              </w:rPr>
              <w:t>4,030</w:t>
            </w:r>
          </w:p>
        </w:tc>
        <w:tc>
          <w:tcPr>
            <w:tcW w:w="560" w:type="dxa"/>
            <w:vAlign w:val="bottom"/>
            <w:gridSpan w:val="5"/>
          </w:tcPr>
          <w:p>
            <w:pPr>
              <w:jc w:val="right"/>
              <w:ind w:right="160"/>
              <w:spacing w:after="0"/>
              <w:rPr>
                <w:sz w:val="20"/>
                <w:szCs w:val="20"/>
                <w:color w:val="auto"/>
              </w:rPr>
            </w:pPr>
            <w:r>
              <w:rPr>
                <w:rFonts w:ascii="Arial" w:cs="Arial" w:eastAsia="Arial" w:hAnsi="Arial"/>
                <w:sz w:val="18"/>
                <w:szCs w:val="18"/>
                <w:color w:val="auto"/>
              </w:rPr>
              <w:t>3.3</w:t>
            </w:r>
          </w:p>
        </w:tc>
        <w:tc>
          <w:tcPr>
            <w:tcW w:w="760" w:type="dxa"/>
            <w:vAlign w:val="bottom"/>
            <w:gridSpan w:val="5"/>
          </w:tcPr>
          <w:p>
            <w:pPr>
              <w:jc w:val="right"/>
              <w:ind w:right="180"/>
              <w:spacing w:after="0"/>
              <w:rPr>
                <w:sz w:val="20"/>
                <w:szCs w:val="20"/>
                <w:color w:val="auto"/>
              </w:rPr>
            </w:pPr>
            <w:r>
              <w:rPr>
                <w:rFonts w:ascii="Arial" w:cs="Arial" w:eastAsia="Arial" w:hAnsi="Arial"/>
                <w:sz w:val="18"/>
                <w:szCs w:val="18"/>
                <w:color w:val="auto"/>
              </w:rPr>
              <w:t>10,686</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3.9</w:t>
            </w:r>
          </w:p>
        </w:tc>
        <w:tc>
          <w:tcPr>
            <w:tcW w:w="660" w:type="dxa"/>
            <w:vAlign w:val="bottom"/>
            <w:gridSpan w:val="5"/>
          </w:tcPr>
          <w:p>
            <w:pPr>
              <w:jc w:val="right"/>
              <w:ind w:right="80"/>
              <w:spacing w:after="0"/>
              <w:rPr>
                <w:sz w:val="20"/>
                <w:szCs w:val="20"/>
                <w:color w:val="auto"/>
              </w:rPr>
            </w:pPr>
            <w:r>
              <w:rPr>
                <w:rFonts w:ascii="Arial" w:cs="Arial" w:eastAsia="Arial" w:hAnsi="Arial"/>
                <w:sz w:val="18"/>
                <w:szCs w:val="18"/>
                <w:color w:val="auto"/>
              </w:rPr>
              <w:t>12,242</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rPr>
              <w:t>3.0</w:t>
            </w: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rPr>
              <w:t>3,799</w:t>
            </w:r>
          </w:p>
        </w:tc>
        <w:tc>
          <w:tcPr>
            <w:tcW w:w="480" w:type="dxa"/>
            <w:vAlign w:val="bottom"/>
            <w:gridSpan w:val="5"/>
          </w:tcPr>
          <w:p>
            <w:pPr>
              <w:ind w:left="100"/>
              <w:spacing w:after="0"/>
              <w:rPr>
                <w:sz w:val="20"/>
                <w:szCs w:val="20"/>
                <w:color w:val="auto"/>
              </w:rPr>
            </w:pPr>
            <w:r>
              <w:rPr>
                <w:rFonts w:ascii="Arial" w:cs="Arial" w:eastAsia="Arial" w:hAnsi="Arial"/>
                <w:sz w:val="18"/>
                <w:szCs w:val="18"/>
                <w:color w:val="auto"/>
              </w:rPr>
              <w:t>4.0</w:t>
            </w:r>
          </w:p>
        </w:tc>
        <w:tc>
          <w:tcPr>
            <w:tcW w:w="640" w:type="dxa"/>
            <w:vAlign w:val="bottom"/>
            <w:gridSpan w:val="5"/>
          </w:tcPr>
          <w:p>
            <w:pPr>
              <w:jc w:val="right"/>
              <w:ind w:right="140"/>
              <w:spacing w:after="0"/>
              <w:rPr>
                <w:sz w:val="20"/>
                <w:szCs w:val="20"/>
                <w:color w:val="auto"/>
              </w:rPr>
            </w:pPr>
            <w:r>
              <w:rPr>
                <w:rFonts w:ascii="Arial" w:cs="Arial" w:eastAsia="Arial" w:hAnsi="Arial"/>
                <w:sz w:val="18"/>
                <w:szCs w:val="18"/>
                <w:color w:val="auto"/>
              </w:rPr>
              <w:t>2,679</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Platform commission</w:t>
            </w:r>
          </w:p>
        </w:tc>
        <w:tc>
          <w:tcPr>
            <w:tcW w:w="7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6,090</w:t>
            </w:r>
          </w:p>
        </w:tc>
        <w:tc>
          <w:tcPr>
            <w:tcW w:w="5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7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7,789</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2.8</w:t>
            </w:r>
          </w:p>
        </w:tc>
        <w:tc>
          <w:tcPr>
            <w:tcW w:w="6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10,978</w:t>
            </w:r>
          </w:p>
        </w:tc>
        <w:tc>
          <w:tcPr>
            <w:tcW w:w="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2.7</w:t>
            </w:r>
          </w:p>
        </w:tc>
        <w:tc>
          <w:tcPr>
            <w:tcW w:w="6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2,969</w:t>
            </w:r>
          </w:p>
        </w:tc>
        <w:tc>
          <w:tcPr>
            <w:tcW w:w="4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3.2</w:t>
            </w:r>
          </w:p>
        </w:tc>
        <w:tc>
          <w:tcPr>
            <w:tcW w:w="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2,425</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Advertising and promotion expenses</w:t>
            </w:r>
          </w:p>
        </w:tc>
        <w:tc>
          <w:tcPr>
            <w:tcW w:w="720" w:type="dxa"/>
            <w:vAlign w:val="bottom"/>
            <w:gridSpan w:val="5"/>
          </w:tcPr>
          <w:p>
            <w:pPr>
              <w:jc w:val="right"/>
              <w:ind w:right="140"/>
              <w:spacing w:after="0"/>
              <w:rPr>
                <w:sz w:val="20"/>
                <w:szCs w:val="20"/>
                <w:color w:val="auto"/>
              </w:rPr>
            </w:pPr>
            <w:r>
              <w:rPr>
                <w:rFonts w:ascii="Arial" w:cs="Arial" w:eastAsia="Arial" w:hAnsi="Arial"/>
                <w:sz w:val="18"/>
                <w:szCs w:val="18"/>
                <w:color w:val="auto"/>
              </w:rPr>
              <w:t>1,198</w:t>
            </w:r>
          </w:p>
        </w:tc>
        <w:tc>
          <w:tcPr>
            <w:tcW w:w="560" w:type="dxa"/>
            <w:vAlign w:val="bottom"/>
            <w:gridSpan w:val="5"/>
          </w:tcPr>
          <w:p>
            <w:pPr>
              <w:jc w:val="right"/>
              <w:ind w:right="160"/>
              <w:spacing w:after="0"/>
              <w:rPr>
                <w:sz w:val="20"/>
                <w:szCs w:val="20"/>
                <w:color w:val="auto"/>
              </w:rPr>
            </w:pPr>
            <w:r>
              <w:rPr>
                <w:rFonts w:ascii="Arial" w:cs="Arial" w:eastAsia="Arial" w:hAnsi="Arial"/>
                <w:sz w:val="18"/>
                <w:szCs w:val="18"/>
                <w:color w:val="auto"/>
              </w:rPr>
              <w:t>1.0</w:t>
            </w:r>
          </w:p>
        </w:tc>
        <w:tc>
          <w:tcPr>
            <w:tcW w:w="760" w:type="dxa"/>
            <w:vAlign w:val="bottom"/>
            <w:gridSpan w:val="5"/>
          </w:tcPr>
          <w:p>
            <w:pPr>
              <w:jc w:val="right"/>
              <w:ind w:right="180"/>
              <w:spacing w:after="0"/>
              <w:rPr>
                <w:sz w:val="20"/>
                <w:szCs w:val="20"/>
                <w:color w:val="auto"/>
              </w:rPr>
            </w:pPr>
            <w:r>
              <w:rPr>
                <w:rFonts w:ascii="Arial" w:cs="Arial" w:eastAsia="Arial" w:hAnsi="Arial"/>
                <w:sz w:val="18"/>
                <w:szCs w:val="18"/>
                <w:color w:val="auto"/>
              </w:rPr>
              <w:t>1,075</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0.4</w:t>
            </w:r>
          </w:p>
        </w:tc>
        <w:tc>
          <w:tcPr>
            <w:tcW w:w="660" w:type="dxa"/>
            <w:vAlign w:val="bottom"/>
            <w:gridSpan w:val="5"/>
          </w:tcPr>
          <w:p>
            <w:pPr>
              <w:jc w:val="right"/>
              <w:ind w:right="80"/>
              <w:spacing w:after="0"/>
              <w:rPr>
                <w:sz w:val="20"/>
                <w:szCs w:val="20"/>
                <w:color w:val="auto"/>
              </w:rPr>
            </w:pPr>
            <w:r>
              <w:rPr>
                <w:rFonts w:ascii="Arial" w:cs="Arial" w:eastAsia="Arial" w:hAnsi="Arial"/>
                <w:sz w:val="18"/>
                <w:szCs w:val="18"/>
                <w:color w:val="auto"/>
              </w:rPr>
              <w:t>1,851</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rPr>
              <w:t>0.4</w:t>
            </w: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rPr>
              <w:t>444</w:t>
            </w:r>
          </w:p>
        </w:tc>
        <w:tc>
          <w:tcPr>
            <w:tcW w:w="480" w:type="dxa"/>
            <w:vAlign w:val="bottom"/>
            <w:gridSpan w:val="5"/>
          </w:tcPr>
          <w:p>
            <w:pPr>
              <w:ind w:left="100"/>
              <w:spacing w:after="0"/>
              <w:rPr>
                <w:sz w:val="20"/>
                <w:szCs w:val="20"/>
                <w:color w:val="auto"/>
              </w:rPr>
            </w:pPr>
            <w:r>
              <w:rPr>
                <w:rFonts w:ascii="Arial" w:cs="Arial" w:eastAsia="Arial" w:hAnsi="Arial"/>
                <w:sz w:val="18"/>
                <w:szCs w:val="18"/>
                <w:color w:val="auto"/>
              </w:rPr>
              <w:t>0.5</w:t>
            </w:r>
          </w:p>
        </w:tc>
        <w:tc>
          <w:tcPr>
            <w:tcW w:w="640" w:type="dxa"/>
            <w:vAlign w:val="bottom"/>
            <w:gridSpan w:val="5"/>
          </w:tcPr>
          <w:p>
            <w:pPr>
              <w:jc w:val="right"/>
              <w:ind w:right="140"/>
              <w:spacing w:after="0"/>
              <w:rPr>
                <w:sz w:val="20"/>
                <w:szCs w:val="20"/>
                <w:color w:val="auto"/>
              </w:rPr>
            </w:pPr>
            <w:r>
              <w:rPr>
                <w:rFonts w:ascii="Arial" w:cs="Arial" w:eastAsia="Arial" w:hAnsi="Arial"/>
                <w:sz w:val="18"/>
                <w:szCs w:val="18"/>
                <w:color w:val="auto"/>
              </w:rPr>
              <w:t>269</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Traveling</w:t>
            </w:r>
          </w:p>
        </w:tc>
        <w:tc>
          <w:tcPr>
            <w:tcW w:w="7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5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7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0.2</w:t>
            </w:r>
          </w:p>
        </w:tc>
        <w:tc>
          <w:tcPr>
            <w:tcW w:w="6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0.0</w:t>
            </w:r>
          </w:p>
        </w:tc>
        <w:tc>
          <w:tcPr>
            <w:tcW w:w="6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4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0.0</w:t>
            </w:r>
          </w:p>
        </w:tc>
        <w:tc>
          <w:tcPr>
            <w:tcW w:w="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0.7</w:t>
            </w:r>
          </w:p>
        </w:tc>
        <w:tc>
          <w:tcPr>
            <w:tcW w:w="760" w:type="dxa"/>
            <w:vAlign w:val="bottom"/>
            <w:gridSpan w:val="5"/>
          </w:tcPr>
          <w:p>
            <w:pPr>
              <w:jc w:val="right"/>
              <w:ind w:right="180"/>
              <w:spacing w:after="0"/>
              <w:rPr>
                <w:sz w:val="20"/>
                <w:szCs w:val="20"/>
                <w:color w:val="auto"/>
              </w:rPr>
            </w:pPr>
            <w:r>
              <w:rPr>
                <w:rFonts w:ascii="Arial" w:cs="Arial" w:eastAsia="Arial" w:hAnsi="Arial"/>
                <w:sz w:val="18"/>
                <w:szCs w:val="18"/>
                <w:color w:val="auto"/>
              </w:rPr>
              <w:t>2,155</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0.8</w:t>
            </w:r>
          </w:p>
        </w:tc>
        <w:tc>
          <w:tcPr>
            <w:tcW w:w="660" w:type="dxa"/>
            <w:vAlign w:val="bottom"/>
            <w:gridSpan w:val="5"/>
          </w:tcPr>
          <w:p>
            <w:pPr>
              <w:jc w:val="right"/>
              <w:ind w:right="80"/>
              <w:spacing w:after="0"/>
              <w:rPr>
                <w:sz w:val="20"/>
                <w:szCs w:val="20"/>
                <w:color w:val="auto"/>
              </w:rPr>
            </w:pPr>
            <w:r>
              <w:rPr>
                <w:rFonts w:ascii="Arial" w:cs="Arial" w:eastAsia="Arial" w:hAnsi="Arial"/>
                <w:sz w:val="18"/>
                <w:szCs w:val="18"/>
                <w:color w:val="auto"/>
              </w:rPr>
              <w:t>490</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rPr>
              <w:t>0.1</w:t>
            </w:r>
          </w:p>
        </w:tc>
        <w:tc>
          <w:tcPr>
            <w:tcW w:w="620" w:type="dxa"/>
            <w:vAlign w:val="bottom"/>
            <w:gridSpan w:val="6"/>
          </w:tcPr>
          <w:p>
            <w:pPr>
              <w:jc w:val="right"/>
              <w:ind w:right="140"/>
              <w:spacing w:after="0"/>
              <w:rPr>
                <w:sz w:val="20"/>
                <w:szCs w:val="20"/>
                <w:color w:val="auto"/>
              </w:rPr>
            </w:pPr>
            <w:r>
              <w:rPr>
                <w:rFonts w:ascii="Arial" w:cs="Arial" w:eastAsia="Arial" w:hAnsi="Arial"/>
                <w:sz w:val="18"/>
                <w:szCs w:val="18"/>
                <w:color w:val="auto"/>
              </w:rPr>
              <w:t>117</w:t>
            </w:r>
          </w:p>
        </w:tc>
        <w:tc>
          <w:tcPr>
            <w:tcW w:w="480" w:type="dxa"/>
            <w:vAlign w:val="bottom"/>
            <w:gridSpan w:val="5"/>
          </w:tcPr>
          <w:p>
            <w:pPr>
              <w:ind w:left="100"/>
              <w:spacing w:after="0"/>
              <w:rPr>
                <w:sz w:val="20"/>
                <w:szCs w:val="20"/>
                <w:color w:val="auto"/>
              </w:rPr>
            </w:pPr>
            <w:r>
              <w:rPr>
                <w:rFonts w:ascii="Arial" w:cs="Arial" w:eastAsia="Arial" w:hAnsi="Arial"/>
                <w:sz w:val="18"/>
                <w:szCs w:val="18"/>
                <w:color w:val="auto"/>
              </w:rPr>
              <w:t>0.1</w:t>
            </w:r>
          </w:p>
        </w:tc>
        <w:tc>
          <w:tcPr>
            <w:tcW w:w="640" w:type="dxa"/>
            <w:vAlign w:val="bottom"/>
            <w:gridSpan w:val="5"/>
          </w:tcPr>
          <w:p>
            <w:pPr>
              <w:jc w:val="right"/>
              <w:ind w:right="140"/>
              <w:spacing w:after="0"/>
              <w:rPr>
                <w:sz w:val="20"/>
                <w:szCs w:val="20"/>
                <w:color w:val="auto"/>
              </w:rPr>
            </w:pPr>
            <w:r>
              <w:rPr>
                <w:rFonts w:ascii="Arial" w:cs="Arial" w:eastAsia="Arial" w:hAnsi="Arial"/>
                <w:sz w:val="18"/>
                <w:szCs w:val="18"/>
                <w:color w:val="auto"/>
              </w:rPr>
              <w:t>177</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selling and marketing expenses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12,680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w:t>
            </w:r>
          </w:p>
        </w:tc>
        <w:tc>
          <w:tcPr>
            <w:tcW w:w="7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22,215</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8.1</w:t>
            </w:r>
          </w:p>
        </w:tc>
        <w:tc>
          <w:tcPr>
            <w:tcW w:w="6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25,728</w:t>
            </w:r>
          </w:p>
        </w:tc>
        <w:tc>
          <w:tcPr>
            <w:tcW w:w="54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6.2</w:t>
            </w:r>
          </w:p>
        </w:tc>
        <w:tc>
          <w:tcPr>
            <w:tcW w:w="6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7,359</w:t>
            </w:r>
          </w:p>
        </w:tc>
        <w:tc>
          <w:tcPr>
            <w:tcW w:w="480" w:type="dxa"/>
            <w:vAlign w:val="bottom"/>
            <w:gridSpan w:val="5"/>
            <w:shd w:val="clear" w:color="auto" w:fill="CCEEFF"/>
          </w:tcPr>
          <w:p>
            <w:pPr>
              <w:ind w:left="100"/>
              <w:spacing w:after="0"/>
              <w:rPr>
                <w:sz w:val="20"/>
                <w:szCs w:val="20"/>
                <w:color w:val="auto"/>
              </w:rPr>
            </w:pPr>
            <w:r>
              <w:rPr>
                <w:rFonts w:ascii="Arial" w:cs="Arial" w:eastAsia="Arial" w:hAnsi="Arial"/>
                <w:sz w:val="18"/>
                <w:szCs w:val="18"/>
                <w:b w:val="1"/>
                <w:bCs w:val="1"/>
                <w:color w:val="auto"/>
              </w:rPr>
              <w:t>7.8</w:t>
            </w:r>
          </w:p>
        </w:tc>
        <w:tc>
          <w:tcPr>
            <w:tcW w:w="6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5,562</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40" w:right="560" w:hanging="424"/>
        <w:spacing w:after="0" w:line="25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240" w:firstLine="881"/>
        <w:spacing w:after="0" w:line="301" w:lineRule="auto"/>
        <w:rPr>
          <w:sz w:val="20"/>
          <w:szCs w:val="20"/>
          <w:color w:val="auto"/>
        </w:rPr>
      </w:pPr>
      <w:r>
        <w:rPr>
          <w:rFonts w:ascii="Arial" w:cs="Arial" w:eastAsia="Arial" w:hAnsi="Arial"/>
          <w:sz w:val="16"/>
          <w:szCs w:val="16"/>
          <w:color w:val="auto"/>
        </w:rPr>
        <w:t>Our general and administrative expenses primarily consist of payroll, employees benefits, share-based compensation and related costs for employees involved in general corporate functions, professional services fees, expenses associated with the use of facilities and equipment by these employees, such as property insurance, rental and depreciation expenses and other general corporate expenses. The following table sets forth the breakdown of our general and administrative expenses, both in absolute amount and as a percentage of our total revenues, for the periods presented:</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For the Year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12"/>
          </w:tcPr>
          <w:p>
            <w:pPr>
              <w:ind w:left="80"/>
              <w:spacing w:after="0"/>
              <w:rPr>
                <w:sz w:val="20"/>
                <w:szCs w:val="20"/>
                <w:color w:val="auto"/>
              </w:rPr>
            </w:pPr>
            <w:r>
              <w:rPr>
                <w:rFonts w:ascii="Arial" w:cs="Arial" w:eastAsia="Arial" w:hAnsi="Arial"/>
                <w:sz w:val="14"/>
                <w:szCs w:val="14"/>
                <w:b w:val="1"/>
                <w:bCs w:val="1"/>
                <w:color w:val="auto"/>
                <w:w w:val="94"/>
              </w:rPr>
              <w:t>For the Three Months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2"/>
              </w:rPr>
              <w:t>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10"/>
          </w:tcPr>
          <w:p>
            <w:pPr>
              <w:jc w:val="right"/>
              <w:ind w:right="160"/>
              <w:spacing w:after="0"/>
              <w:rPr>
                <w:sz w:val="20"/>
                <w:szCs w:val="20"/>
                <w:color w:val="auto"/>
              </w:rPr>
            </w:pPr>
            <w:r>
              <w:rPr>
                <w:rFonts w:ascii="Arial" w:cs="Arial" w:eastAsia="Arial" w:hAnsi="Arial"/>
                <w:sz w:val="14"/>
                <w:szCs w:val="14"/>
                <w:b w:val="1"/>
                <w:bCs w:val="1"/>
                <w:color w:val="auto"/>
                <w:w w:val="95"/>
              </w:rPr>
              <w:t>Ended March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300" w:type="dxa"/>
            <w:vAlign w:val="bottom"/>
            <w:gridSpan w:val="3"/>
            <w:vMerge w:val="restart"/>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6"/>
          </w:tcPr>
          <w:p>
            <w:pPr>
              <w:jc w:val="right"/>
              <w:ind w:right="20"/>
              <w:spacing w:after="0" w:line="119" w:lineRule="exact"/>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2021</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5"/>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5"/>
          </w:tcPr>
          <w:p>
            <w:pPr>
              <w:spacing w:after="0"/>
              <w:rPr>
                <w:sz w:val="20"/>
                <w:szCs w:val="20"/>
                <w:color w:val="auto"/>
              </w:rPr>
            </w:pPr>
            <w:r>
              <w:rPr>
                <w:rFonts w:ascii="Arial" w:cs="Arial" w:eastAsia="Arial" w:hAnsi="Arial"/>
                <w:sz w:val="14"/>
                <w:szCs w:val="14"/>
                <w:b w:val="1"/>
                <w:bCs w:val="1"/>
                <w:color w:val="auto"/>
                <w:w w:val="77"/>
              </w:rPr>
              <w:t>Restated*</w:t>
            </w:r>
          </w:p>
        </w:tc>
        <w:tc>
          <w:tcPr>
            <w:tcW w:w="460" w:type="dxa"/>
            <w:vAlign w:val="bottom"/>
            <w:gridSpan w:val="3"/>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10"/>
          </w:tcPr>
          <w:p>
            <w:pPr>
              <w:ind w:left="180"/>
              <w:spacing w:after="0"/>
              <w:rPr>
                <w:sz w:val="20"/>
                <w:szCs w:val="20"/>
                <w:color w:val="auto"/>
              </w:rPr>
            </w:pPr>
            <w:r>
              <w:rPr>
                <w:rFonts w:ascii="Arial" w:cs="Arial" w:eastAsia="Arial" w:hAnsi="Arial"/>
                <w:sz w:val="14"/>
                <w:szCs w:val="14"/>
                <w:b w:val="1"/>
                <w:bCs w:val="1"/>
                <w:color w:val="auto"/>
              </w:rPr>
              <w:t>Restated*</w:t>
            </w:r>
          </w:p>
        </w:tc>
        <w:tc>
          <w:tcPr>
            <w:tcW w:w="6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79"/>
              </w:rPr>
              <w:t>%</w:t>
            </w:r>
          </w:p>
        </w:tc>
        <w:tc>
          <w:tcPr>
            <w:tcW w:w="10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6"/>
              </w:rPr>
              <w:t>%</w:t>
            </w: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6"/>
              </w:rPr>
              <w:t>%</w:t>
            </w: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3"/>
              </w:rPr>
              <w:t>($ in</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71"/>
              </w:rPr>
              <w:t>thousands,</w:t>
            </w:r>
          </w:p>
        </w:tc>
        <w:tc>
          <w:tcPr>
            <w:tcW w:w="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86"/>
              </w:rPr>
              <w:t>except for</w:t>
            </w:r>
          </w:p>
        </w:tc>
        <w:tc>
          <w:tcPr>
            <w:tcW w:w="88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w w:val="96"/>
              </w:rPr>
              <w:t>percentages)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Staff cost</w:t>
            </w:r>
          </w:p>
        </w:tc>
        <w:tc>
          <w:tcPr>
            <w:tcW w:w="60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2,003</w:t>
            </w:r>
          </w:p>
        </w:tc>
        <w:tc>
          <w:tcPr>
            <w:tcW w:w="340" w:type="dxa"/>
            <w:vAlign w:val="bottom"/>
            <w:gridSpan w:val="4"/>
          </w:tcPr>
          <w:p>
            <w:pPr>
              <w:ind w:left="80"/>
              <w:spacing w:after="0"/>
              <w:rPr>
                <w:sz w:val="20"/>
                <w:szCs w:val="20"/>
                <w:color w:val="auto"/>
              </w:rPr>
            </w:pPr>
            <w:r>
              <w:rPr>
                <w:rFonts w:ascii="Arial" w:cs="Arial" w:eastAsia="Arial" w:hAnsi="Arial"/>
                <w:sz w:val="18"/>
                <w:szCs w:val="18"/>
                <w:color w:val="auto"/>
                <w:w w:val="95"/>
              </w:rPr>
              <w:t>1.6</w:t>
            </w:r>
          </w:p>
        </w:tc>
        <w:tc>
          <w:tcPr>
            <w:tcW w:w="760" w:type="dxa"/>
            <w:vAlign w:val="bottom"/>
            <w:gridSpan w:val="7"/>
          </w:tcPr>
          <w:p>
            <w:pPr>
              <w:jc w:val="right"/>
              <w:ind w:right="160"/>
              <w:spacing w:after="0"/>
              <w:rPr>
                <w:sz w:val="20"/>
                <w:szCs w:val="20"/>
                <w:color w:val="auto"/>
              </w:rPr>
            </w:pPr>
            <w:r>
              <w:rPr>
                <w:rFonts w:ascii="Arial" w:cs="Arial" w:eastAsia="Arial" w:hAnsi="Arial"/>
                <w:sz w:val="18"/>
                <w:szCs w:val="18"/>
                <w:color w:val="auto"/>
              </w:rPr>
              <w:t>3,528</w:t>
            </w: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15,676</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rPr>
              <w:t>3.8</w:t>
            </w:r>
          </w:p>
        </w:tc>
        <w:tc>
          <w:tcPr>
            <w:tcW w:w="660" w:type="dxa"/>
            <w:vAlign w:val="bottom"/>
            <w:gridSpan w:val="6"/>
          </w:tcPr>
          <w:p>
            <w:pPr>
              <w:jc w:val="right"/>
              <w:ind w:right="88"/>
              <w:spacing w:after="0"/>
              <w:rPr>
                <w:sz w:val="20"/>
                <w:szCs w:val="20"/>
                <w:color w:val="auto"/>
              </w:rPr>
            </w:pPr>
            <w:r>
              <w:rPr>
                <w:rFonts w:ascii="Arial" w:cs="Arial" w:eastAsia="Arial" w:hAnsi="Arial"/>
                <w:sz w:val="18"/>
                <w:szCs w:val="18"/>
                <w:color w:val="auto"/>
              </w:rPr>
              <w:t>1,065</w:t>
            </w: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1.0</w:t>
            </w: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1,777</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w:t>
            </w:r>
          </w:p>
        </w:tc>
        <w:tc>
          <w:tcPr>
            <w:tcW w:w="6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0.3</w:t>
            </w:r>
          </w:p>
        </w:tc>
        <w:tc>
          <w:tcPr>
            <w:tcW w:w="7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1,708</w:t>
            </w: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5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1.2</w:t>
            </w:r>
          </w:p>
        </w:tc>
        <w:tc>
          <w:tcPr>
            <w:tcW w:w="66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color w:val="auto"/>
              </w:rPr>
              <w:t>1,011</w:t>
            </w:r>
          </w:p>
        </w:tc>
        <w:tc>
          <w:tcPr>
            <w:tcW w:w="4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1.1</w:t>
            </w: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Office supplies and utility</w:t>
            </w:r>
          </w:p>
        </w:tc>
        <w:tc>
          <w:tcPr>
            <w:tcW w:w="600" w:type="dxa"/>
            <w:vAlign w:val="bottom"/>
            <w:gridSpan w:val="5"/>
          </w:tcPr>
          <w:p>
            <w:pPr>
              <w:jc w:val="right"/>
              <w:ind w:right="140"/>
              <w:spacing w:after="0"/>
              <w:rPr>
                <w:sz w:val="20"/>
                <w:szCs w:val="20"/>
                <w:color w:val="auto"/>
              </w:rPr>
            </w:pPr>
            <w:r>
              <w:rPr>
                <w:rFonts w:ascii="Arial" w:cs="Arial" w:eastAsia="Arial" w:hAnsi="Arial"/>
                <w:sz w:val="18"/>
                <w:szCs w:val="18"/>
                <w:color w:val="auto"/>
              </w:rPr>
              <w:t>839</w:t>
            </w:r>
          </w:p>
        </w:tc>
        <w:tc>
          <w:tcPr>
            <w:tcW w:w="340" w:type="dxa"/>
            <w:vAlign w:val="bottom"/>
            <w:gridSpan w:val="4"/>
          </w:tcPr>
          <w:p>
            <w:pPr>
              <w:ind w:left="80"/>
              <w:spacing w:after="0"/>
              <w:rPr>
                <w:sz w:val="20"/>
                <w:szCs w:val="20"/>
                <w:color w:val="auto"/>
              </w:rPr>
            </w:pPr>
            <w:r>
              <w:rPr>
                <w:rFonts w:ascii="Arial" w:cs="Arial" w:eastAsia="Arial" w:hAnsi="Arial"/>
                <w:sz w:val="18"/>
                <w:szCs w:val="18"/>
                <w:color w:val="auto"/>
                <w:w w:val="95"/>
              </w:rPr>
              <w:t>0.7</w:t>
            </w:r>
          </w:p>
        </w:tc>
        <w:tc>
          <w:tcPr>
            <w:tcW w:w="760" w:type="dxa"/>
            <w:vAlign w:val="bottom"/>
            <w:gridSpan w:val="7"/>
          </w:tcPr>
          <w:p>
            <w:pPr>
              <w:jc w:val="right"/>
              <w:ind w:right="160"/>
              <w:spacing w:after="0"/>
              <w:rPr>
                <w:sz w:val="20"/>
                <w:szCs w:val="20"/>
                <w:color w:val="auto"/>
              </w:rPr>
            </w:pPr>
            <w:r>
              <w:rPr>
                <w:rFonts w:ascii="Arial" w:cs="Arial" w:eastAsia="Arial" w:hAnsi="Arial"/>
                <w:sz w:val="18"/>
                <w:szCs w:val="18"/>
                <w:color w:val="auto"/>
              </w:rPr>
              <w:t>1,345</w:t>
            </w: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8"/>
                <w:szCs w:val="18"/>
                <w:color w:val="auto"/>
              </w:rPr>
              <w:t>1,187</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rPr>
              <w:t>0.3</w:t>
            </w:r>
          </w:p>
        </w:tc>
        <w:tc>
          <w:tcPr>
            <w:tcW w:w="660" w:type="dxa"/>
            <w:vAlign w:val="bottom"/>
            <w:gridSpan w:val="6"/>
          </w:tcPr>
          <w:p>
            <w:pPr>
              <w:jc w:val="right"/>
              <w:ind w:right="88"/>
              <w:spacing w:after="0"/>
              <w:rPr>
                <w:sz w:val="20"/>
                <w:szCs w:val="20"/>
                <w:color w:val="auto"/>
              </w:rPr>
            </w:pPr>
            <w:r>
              <w:rPr>
                <w:rFonts w:ascii="Arial" w:cs="Arial" w:eastAsia="Arial" w:hAnsi="Arial"/>
                <w:sz w:val="18"/>
                <w:szCs w:val="18"/>
                <w:color w:val="auto"/>
              </w:rPr>
              <w:t>196</w:t>
            </w: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0.2</w:t>
            </w: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250</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6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0.2</w:t>
            </w:r>
          </w:p>
        </w:tc>
        <w:tc>
          <w:tcPr>
            <w:tcW w:w="7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5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0.3</w:t>
            </w:r>
          </w:p>
        </w:tc>
        <w:tc>
          <w:tcPr>
            <w:tcW w:w="66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color w:val="auto"/>
              </w:rPr>
              <w:t>144</w:t>
            </w:r>
          </w:p>
        </w:tc>
        <w:tc>
          <w:tcPr>
            <w:tcW w:w="4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0.2</w:t>
            </w: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Others</w:t>
            </w:r>
          </w:p>
        </w:tc>
        <w:tc>
          <w:tcPr>
            <w:tcW w:w="600" w:type="dxa"/>
            <w:vAlign w:val="bottom"/>
            <w:gridSpan w:val="5"/>
          </w:tcPr>
          <w:p>
            <w:pPr>
              <w:jc w:val="right"/>
              <w:ind w:right="140"/>
              <w:spacing w:after="0"/>
              <w:rPr>
                <w:sz w:val="20"/>
                <w:szCs w:val="20"/>
                <w:color w:val="auto"/>
              </w:rPr>
            </w:pPr>
            <w:r>
              <w:rPr>
                <w:rFonts w:ascii="Arial" w:cs="Arial" w:eastAsia="Arial" w:hAnsi="Arial"/>
                <w:sz w:val="18"/>
                <w:szCs w:val="18"/>
                <w:color w:val="auto"/>
                <w:w w:val="97"/>
              </w:rPr>
              <w:t>1,225</w:t>
            </w:r>
          </w:p>
        </w:tc>
        <w:tc>
          <w:tcPr>
            <w:tcW w:w="340" w:type="dxa"/>
            <w:vAlign w:val="bottom"/>
            <w:gridSpan w:val="4"/>
          </w:tcPr>
          <w:p>
            <w:pPr>
              <w:ind w:left="80"/>
              <w:spacing w:after="0"/>
              <w:rPr>
                <w:sz w:val="20"/>
                <w:szCs w:val="20"/>
                <w:color w:val="auto"/>
              </w:rPr>
            </w:pPr>
            <w:r>
              <w:rPr>
                <w:rFonts w:ascii="Arial" w:cs="Arial" w:eastAsia="Arial" w:hAnsi="Arial"/>
                <w:sz w:val="18"/>
                <w:szCs w:val="18"/>
                <w:color w:val="auto"/>
                <w:w w:val="95"/>
              </w:rPr>
              <w:t>1.0</w:t>
            </w:r>
          </w:p>
        </w:tc>
        <w:tc>
          <w:tcPr>
            <w:tcW w:w="760" w:type="dxa"/>
            <w:vAlign w:val="bottom"/>
            <w:gridSpan w:val="7"/>
          </w:tcPr>
          <w:p>
            <w:pPr>
              <w:jc w:val="right"/>
              <w:ind w:right="160"/>
              <w:spacing w:after="0"/>
              <w:rPr>
                <w:sz w:val="20"/>
                <w:szCs w:val="20"/>
                <w:color w:val="auto"/>
              </w:rPr>
            </w:pPr>
            <w:r>
              <w:rPr>
                <w:rFonts w:ascii="Arial" w:cs="Arial" w:eastAsia="Arial" w:hAnsi="Arial"/>
                <w:sz w:val="18"/>
                <w:szCs w:val="18"/>
                <w:color w:val="auto"/>
              </w:rPr>
              <w:t>1,814</w:t>
            </w: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8"/>
                <w:szCs w:val="18"/>
                <w:color w:val="auto"/>
              </w:rPr>
              <w:t>1,638</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rPr>
              <w:t>0.3</w:t>
            </w:r>
          </w:p>
        </w:tc>
        <w:tc>
          <w:tcPr>
            <w:tcW w:w="660" w:type="dxa"/>
            <w:vAlign w:val="bottom"/>
            <w:gridSpan w:val="6"/>
          </w:tcPr>
          <w:p>
            <w:pPr>
              <w:jc w:val="right"/>
              <w:ind w:right="88"/>
              <w:spacing w:after="0"/>
              <w:rPr>
                <w:sz w:val="20"/>
                <w:szCs w:val="20"/>
                <w:color w:val="auto"/>
              </w:rPr>
            </w:pPr>
            <w:r>
              <w:rPr>
                <w:rFonts w:ascii="Arial" w:cs="Arial" w:eastAsia="Arial" w:hAnsi="Arial"/>
                <w:sz w:val="18"/>
                <w:szCs w:val="18"/>
                <w:color w:val="auto"/>
              </w:rPr>
              <w:t>525</w:t>
            </w: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0.6</w:t>
            </w:r>
          </w:p>
        </w:tc>
        <w:tc>
          <w:tcPr>
            <w:tcW w:w="620" w:type="dxa"/>
            <w:vAlign w:val="bottom"/>
            <w:gridSpan w:val="5"/>
          </w:tcPr>
          <w:p>
            <w:pPr>
              <w:jc w:val="right"/>
              <w:ind w:right="120"/>
              <w:spacing w:after="0"/>
              <w:rPr>
                <w:sz w:val="20"/>
                <w:szCs w:val="20"/>
                <w:color w:val="auto"/>
              </w:rPr>
            </w:pPr>
            <w:r>
              <w:rPr>
                <w:rFonts w:ascii="Arial" w:cs="Arial" w:eastAsia="Arial" w:hAnsi="Arial"/>
                <w:sz w:val="18"/>
                <w:szCs w:val="18"/>
                <w:color w:val="auto"/>
              </w:rPr>
              <w:t>849</w:t>
            </w:r>
          </w:p>
        </w:tc>
        <w:tc>
          <w:tcPr>
            <w:tcW w:w="420" w:type="dxa"/>
            <w:vAlign w:val="bottom"/>
            <w:gridSpan w:val="5"/>
          </w:tcPr>
          <w:p>
            <w:pPr>
              <w:ind w:lef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6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4,712</w:t>
            </w:r>
          </w:p>
        </w:tc>
        <w:tc>
          <w:tcPr>
            <w:tcW w:w="34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w w:val="95"/>
              </w:rPr>
              <w:t>3.8</w:t>
            </w:r>
          </w:p>
        </w:tc>
        <w:tc>
          <w:tcPr>
            <w:tcW w:w="7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8,717</w:t>
            </w: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24,516</w:t>
            </w:r>
          </w:p>
        </w:tc>
        <w:tc>
          <w:tcPr>
            <w:tcW w:w="52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5.9</w:t>
            </w:r>
          </w:p>
        </w:tc>
        <w:tc>
          <w:tcPr>
            <w:tcW w:w="660" w:type="dxa"/>
            <w:vAlign w:val="bottom"/>
            <w:gridSpan w:val="6"/>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2,941</w:t>
            </w:r>
          </w:p>
        </w:tc>
        <w:tc>
          <w:tcPr>
            <w:tcW w:w="4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3.1</w:t>
            </w: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3,827</w:t>
            </w:r>
          </w:p>
        </w:tc>
        <w:tc>
          <w:tcPr>
            <w:tcW w:w="42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560" w:hanging="424"/>
        <w:spacing w:after="0" w:line="253"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interest expense primarily consists of our financial lease interest expense for warehouses in the 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Gains, Net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foreign exchange gains represent the gains due to depreciation of U.S. dollars against Euro and British Pounds.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Net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Others, net primarily consists of impairment, subsidies and others. Impairment loss represents the provisions on an equity investment.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Our income tax expense primarily consists of current tax expense, deferred income tax expense and uncertain tax position, primarily related to uncertainty of our subsidiaries and any consolidated VIEs in mainland China with regards to the tax impact of transfer pricing adjustment.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Under the current laws of the Cayman Islands, we are not subject to tax on income or capital gain. Additionally, the Cayman Islands does not impose a withholding tax on payments of dividends to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Under the current Hong Kong S.A.R. Inland Revenue Ordinance, our subsidiary in Hong Kong S.A.R. is subject to Hong Kong S.A.R. profits tax at the rate of 16.5% on its taxable income generated from the operations in Hong Kong S.A.R. The first HK$2 million of assessable profits earned by a company will be taxed at 8.25% whilst the remaining profits will continue to be taxed at 16.5%. There is an anti-fragmentation measure where each group will have to nominate only one company in the group to benefit from the progressive rates. Payments of dividends by our Hong Kong S.A.R. subsidiary to us is not subject to withholding tax in Hong Kong S.A.R.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Mainland China</w:t>
      </w:r>
    </w:p>
    <w:p>
      <w:pPr>
        <w:spacing w:after="0" w:line="225" w:lineRule="exact"/>
        <w:rPr>
          <w:sz w:val="20"/>
          <w:szCs w:val="20"/>
          <w:color w:val="auto"/>
        </w:rPr>
      </w:pPr>
    </w:p>
    <w:p>
      <w:pPr>
        <w:ind w:left="120" w:right="380" w:firstLine="881"/>
        <w:spacing w:after="0" w:line="342" w:lineRule="auto"/>
        <w:rPr>
          <w:sz w:val="20"/>
          <w:szCs w:val="20"/>
          <w:color w:val="auto"/>
        </w:rPr>
      </w:pPr>
      <w:r>
        <w:rPr>
          <w:rFonts w:ascii="Arial" w:cs="Arial" w:eastAsia="Arial" w:hAnsi="Arial"/>
          <w:sz w:val="16"/>
          <w:szCs w:val="16"/>
          <w:color w:val="auto"/>
        </w:rPr>
        <w:t>Under the PRC Enterprise Income Tax Law, or the EIT Law, domestic companies are subject to EIT at a uniform rate of 25%. Our PRC Subsidiaries and consolidated VIEs are subject to the statutory income tax rate at 25%, unless a preferential EIT rate is otherwise stipulated.</w:t>
      </w:r>
    </w:p>
    <w:p>
      <w:pPr>
        <w:spacing w:after="0" w:line="12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On December 24, 2019, our wholly-owned subsidiary, GigaCloud Technology (Suzhou) Co., Ltd. (formerly known as Oriental Standard Network Technology (Suzhou) Co., Ltd.) obtained a certificate from related authorities of local government for “Advanced Technology Service Enterprise,” or ATSE, qualification. This certificate entitled GigaCloud Technology (Suzhou) Co., Ltd. to enjoy a preferential income tax rate of 15% for a period of three years from 2019 to 2021 if all the criteria for ATSE status could be satisfied in the relevant years.</w:t>
      </w:r>
    </w:p>
    <w:p>
      <w:pPr>
        <w:spacing w:after="0" w:line="171" w:lineRule="exact"/>
        <w:rPr>
          <w:sz w:val="20"/>
          <w:szCs w:val="20"/>
          <w:color w:val="auto"/>
        </w:rPr>
      </w:pPr>
    </w:p>
    <w:p>
      <w:pPr>
        <w:ind w:left="120" w:right="140" w:firstLine="881"/>
        <w:spacing w:after="0" w:line="290" w:lineRule="auto"/>
        <w:rPr>
          <w:sz w:val="20"/>
          <w:szCs w:val="20"/>
          <w:color w:val="auto"/>
        </w:rPr>
      </w:pPr>
      <w:r>
        <w:rPr>
          <w:rFonts w:ascii="Arial" w:cs="Arial" w:eastAsia="Arial" w:hAnsi="Arial"/>
          <w:sz w:val="16"/>
          <w:szCs w:val="16"/>
          <w:color w:val="auto"/>
        </w:rPr>
        <w:t>Under the EIT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mainland China. Despite the present uncertainties resulting from the limited PRC tax guidance on the issue, we do not believe that the legal entities organized outside the PRC should be treated as residents for EIT Law purposes. If the PRC tax authorities subsequently determine that our Company and our subsidiaries registered outside the PRC are deemed resident enterprises, our Company and our subsidiaries registered outside mainland China will be subject to the PRC income tax at a rate of 25%.</w:t>
      </w:r>
    </w:p>
    <w:p>
      <w:pPr>
        <w:spacing w:after="0" w:line="165"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Dividends paid to non-PRC-resident corporate investor from profits earned by the PRC subsidiaries after January 1, 2008 would be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 As at December 31, 2019 and 2020, there was no retained earnings from legal entity level of all of our PRC Subsidiaries and PRC VIE. And thus, we have not provided for deferred tax liabilities on undistributed earnings for our PRC Subsidiaries.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Taxation</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Our U.S. subsidiaries are subject to U.S. federal income taxes and state income taxes. In connection with U.S. tax legislation enacted in December 2017, the federal income tax rate for corporations changed to 21% beginning in 2018, while state income tax rates generally remained the same as in previous years. The U.S. tax rules also provide for enhanced accelerated depreciation deductions by allowing the election of full expensing of qualified property, primarily equipment, through 2022.</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following table sets forth a summary of our consolidated results of operations, both in absolute amount and as a percentage of our total revenues, for the periods presented. This information should be read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together with our consolidated financial statements and related notes included elsewhere in this prospectus. The results of operations in any period are not necessarily indicative of our future trends.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2"/>
              </w:rPr>
              <w:t>For the Year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11"/>
          </w:tcPr>
          <w:p>
            <w:pPr>
              <w:jc w:val="right"/>
              <w:ind w:right="240"/>
              <w:spacing w:after="0"/>
              <w:rPr>
                <w:sz w:val="20"/>
                <w:szCs w:val="20"/>
                <w:color w:val="auto"/>
              </w:rPr>
            </w:pPr>
            <w:r>
              <w:rPr>
                <w:rFonts w:ascii="Arial" w:cs="Arial" w:eastAsia="Arial" w:hAnsi="Arial"/>
                <w:sz w:val="14"/>
                <w:szCs w:val="14"/>
                <w:b w:val="1"/>
                <w:bCs w:val="1"/>
                <w:color w:val="auto"/>
                <w:w w:val="93"/>
              </w:rPr>
              <w:t>For the Three Months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Ended December 31,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vMerge w:val="restart"/>
          </w:tcPr>
          <w:p>
            <w:pPr>
              <w:jc w:val="center"/>
              <w:ind w:left="432"/>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tcPr>
          <w:p>
            <w:pPr>
              <w:jc w:val="right"/>
              <w:ind w:right="70"/>
              <w:spacing w:after="0" w:line="119"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w w:val="89"/>
              </w:rPr>
              <w:t>Restated*</w:t>
            </w:r>
          </w:p>
        </w:tc>
        <w:tc>
          <w:tcPr>
            <w:tcW w:w="8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5"/>
              </w:rPr>
              <w:t>Restated*</w:t>
            </w:r>
          </w:p>
        </w:tc>
        <w:tc>
          <w:tcPr>
            <w:tcW w:w="8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80" w:type="dxa"/>
            <w:vAlign w:val="bottom"/>
            <w:tcBorders>
              <w:top w:val="single" w:sz="8" w:color="auto"/>
            </w:tcBorders>
          </w:tcPr>
          <w:p>
            <w:pPr>
              <w:spacing w:after="0"/>
              <w:rPr>
                <w:sz w:val="12"/>
                <w:szCs w:val="12"/>
                <w:color w:val="auto"/>
              </w:rPr>
            </w:pPr>
          </w:p>
        </w:tc>
        <w:tc>
          <w:tcPr>
            <w:tcW w:w="74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92"/>
              </w:rPr>
              <w:t>except for</w:t>
            </w:r>
          </w:p>
        </w:tc>
        <w:tc>
          <w:tcPr>
            <w:tcW w:w="140" w:type="dxa"/>
            <w:vAlign w:val="bottom"/>
            <w:tcBorders>
              <w:top w:val="single" w:sz="8" w:color="auto"/>
            </w:tcBorders>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0"/>
              </w:rPr>
              <w:t>percentages)</w:t>
            </w:r>
          </w:p>
        </w:tc>
        <w:tc>
          <w:tcPr>
            <w:tcW w:w="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Service revenues</w:t>
            </w:r>
          </w:p>
        </w:tc>
        <w:tc>
          <w:tcPr>
            <w:tcW w:w="840" w:type="dxa"/>
            <w:vAlign w:val="bottom"/>
            <w:gridSpan w:val="5"/>
          </w:tcPr>
          <w:p>
            <w:pPr>
              <w:jc w:val="right"/>
              <w:ind w:right="61"/>
              <w:spacing w:after="0"/>
              <w:rPr>
                <w:sz w:val="20"/>
                <w:szCs w:val="20"/>
                <w:color w:val="auto"/>
              </w:rPr>
            </w:pPr>
            <w:r>
              <w:rPr>
                <w:rFonts w:ascii="Arial" w:cs="Arial" w:eastAsia="Arial" w:hAnsi="Arial"/>
                <w:sz w:val="18"/>
                <w:szCs w:val="18"/>
                <w:color w:val="auto"/>
              </w:rPr>
              <w:t>15,151</w:t>
            </w:r>
          </w:p>
        </w:tc>
        <w:tc>
          <w:tcPr>
            <w:tcW w:w="740" w:type="dxa"/>
            <w:vAlign w:val="bottom"/>
            <w:gridSpan w:val="5"/>
          </w:tcPr>
          <w:p>
            <w:pPr>
              <w:jc w:val="right"/>
              <w:ind w:right="200"/>
              <w:spacing w:after="0"/>
              <w:rPr>
                <w:sz w:val="20"/>
                <w:szCs w:val="20"/>
                <w:color w:val="auto"/>
              </w:rPr>
            </w:pPr>
            <w:r>
              <w:rPr>
                <w:rFonts w:ascii="Arial" w:cs="Arial" w:eastAsia="Arial" w:hAnsi="Arial"/>
                <w:sz w:val="18"/>
                <w:szCs w:val="18"/>
                <w:color w:val="auto"/>
              </w:rPr>
              <w:t>12.4</w:t>
            </w:r>
          </w:p>
        </w:tc>
        <w:tc>
          <w:tcPr>
            <w:tcW w:w="1000" w:type="dxa"/>
            <w:vAlign w:val="bottom"/>
            <w:gridSpan w:val="6"/>
          </w:tcPr>
          <w:p>
            <w:pPr>
              <w:jc w:val="right"/>
              <w:ind w:right="190"/>
              <w:spacing w:after="0"/>
              <w:rPr>
                <w:sz w:val="20"/>
                <w:szCs w:val="20"/>
                <w:color w:val="auto"/>
              </w:rPr>
            </w:pPr>
            <w:r>
              <w:rPr>
                <w:rFonts w:ascii="Arial" w:cs="Arial" w:eastAsia="Arial" w:hAnsi="Arial"/>
                <w:sz w:val="18"/>
                <w:szCs w:val="18"/>
                <w:color w:val="auto"/>
              </w:rPr>
              <w:t>60,130</w:t>
            </w:r>
          </w:p>
        </w:tc>
        <w:tc>
          <w:tcPr>
            <w:tcW w:w="620" w:type="dxa"/>
            <w:vAlign w:val="bottom"/>
            <w:gridSpan w:val="4"/>
          </w:tcPr>
          <w:p>
            <w:pPr>
              <w:jc w:val="right"/>
              <w:ind w:right="220"/>
              <w:spacing w:after="0"/>
              <w:rPr>
                <w:sz w:val="20"/>
                <w:szCs w:val="20"/>
                <w:color w:val="auto"/>
              </w:rPr>
            </w:pPr>
            <w:r>
              <w:rPr>
                <w:rFonts w:ascii="Arial" w:cs="Arial" w:eastAsia="Arial" w:hAnsi="Arial"/>
                <w:sz w:val="18"/>
                <w:szCs w:val="18"/>
                <w:color w:val="auto"/>
              </w:rPr>
              <w:t>21.8</w:t>
            </w:r>
          </w:p>
        </w:tc>
        <w:tc>
          <w:tcPr>
            <w:tcW w:w="880" w:type="dxa"/>
            <w:vAlign w:val="bottom"/>
            <w:gridSpan w:val="5"/>
          </w:tcPr>
          <w:p>
            <w:pPr>
              <w:jc w:val="right"/>
              <w:ind w:right="101"/>
              <w:spacing w:after="0"/>
              <w:rPr>
                <w:sz w:val="20"/>
                <w:szCs w:val="20"/>
                <w:color w:val="auto"/>
              </w:rPr>
            </w:pPr>
            <w:r>
              <w:rPr>
                <w:rFonts w:ascii="Arial" w:cs="Arial" w:eastAsia="Arial" w:hAnsi="Arial"/>
                <w:sz w:val="18"/>
                <w:szCs w:val="18"/>
                <w:color w:val="auto"/>
              </w:rPr>
              <w:t>98,332</w:t>
            </w: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23.7</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20,418</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21.6</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color w:val="auto"/>
              </w:rPr>
              <w:t>31,218</w:t>
            </w:r>
          </w:p>
        </w:tc>
        <w:tc>
          <w:tcPr>
            <w:tcW w:w="660" w:type="dxa"/>
            <w:vAlign w:val="bottom"/>
            <w:gridSpan w:val="5"/>
          </w:tcPr>
          <w:p>
            <w:pPr>
              <w:jc w:val="right"/>
              <w:ind w:right="1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107,145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6"/>
            <w:shd w:val="clear" w:color="auto" w:fill="CCEEFF"/>
          </w:tcPr>
          <w:p>
            <w:pPr>
              <w:jc w:val="right"/>
              <w:ind w:right="190"/>
              <w:spacing w:after="0"/>
              <w:rPr>
                <w:sz w:val="20"/>
                <w:szCs w:val="20"/>
                <w:color w:val="auto"/>
              </w:rPr>
            </w:pPr>
            <w:r>
              <w:rPr>
                <w:rFonts w:ascii="Arial" w:cs="Arial" w:eastAsia="Arial" w:hAnsi="Arial"/>
                <w:sz w:val="18"/>
                <w:szCs w:val="18"/>
                <w:color w:val="auto"/>
              </w:rPr>
              <w:t>215,348</w:t>
            </w: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880" w:type="dxa"/>
            <w:vAlign w:val="bottom"/>
            <w:gridSpan w:val="5"/>
            <w:shd w:val="clear" w:color="auto" w:fill="CCEEFF"/>
          </w:tcPr>
          <w:p>
            <w:pPr>
              <w:jc w:val="right"/>
              <w:ind w:right="101"/>
              <w:spacing w:after="0"/>
              <w:rPr>
                <w:sz w:val="20"/>
                <w:szCs w:val="20"/>
                <w:color w:val="auto"/>
              </w:rPr>
            </w:pPr>
            <w:r>
              <w:rPr>
                <w:rFonts w:ascii="Arial" w:cs="Arial" w:eastAsia="Arial" w:hAnsi="Arial"/>
                <w:sz w:val="18"/>
                <w:szCs w:val="18"/>
                <w:color w:val="auto"/>
              </w:rPr>
              <w:t>315,865</w:t>
            </w: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76.3</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74,110</w:t>
            </w:r>
          </w:p>
        </w:tc>
        <w:tc>
          <w:tcPr>
            <w:tcW w:w="7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81,224</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70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122,296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Pr>
          <w:p>
            <w:pPr>
              <w:spacing w:after="0"/>
              <w:rPr>
                <w:sz w:val="20"/>
                <w:szCs w:val="20"/>
                <w:color w:val="auto"/>
              </w:rPr>
            </w:pPr>
          </w:p>
        </w:tc>
        <w:tc>
          <w:tcPr>
            <w:tcW w:w="10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275,478</w:t>
            </w:r>
          </w:p>
        </w:tc>
        <w:tc>
          <w:tcPr>
            <w:tcW w:w="6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4"/>
              </w:rPr>
              <w:t>100.0</w:t>
            </w:r>
          </w:p>
        </w:tc>
        <w:tc>
          <w:tcPr>
            <w:tcW w:w="880" w:type="dxa"/>
            <w:vAlign w:val="bottom"/>
            <w:gridSpan w:val="5"/>
          </w:tcPr>
          <w:p>
            <w:pPr>
              <w:jc w:val="right"/>
              <w:ind w:right="101"/>
              <w:spacing w:after="0"/>
              <w:rPr>
                <w:sz w:val="20"/>
                <w:szCs w:val="20"/>
                <w:color w:val="auto"/>
              </w:rPr>
            </w:pPr>
            <w:r>
              <w:rPr>
                <w:rFonts w:ascii="Arial" w:cs="Arial" w:eastAsia="Arial" w:hAnsi="Arial"/>
                <w:sz w:val="18"/>
                <w:szCs w:val="18"/>
                <w:b w:val="1"/>
                <w:bCs w:val="1"/>
                <w:color w:val="auto"/>
              </w:rPr>
              <w:t>414,197</w:t>
            </w:r>
          </w:p>
        </w:tc>
        <w:tc>
          <w:tcPr>
            <w:tcW w:w="8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94,528</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8"/>
              </w:rPr>
              <w:t>112,442</w:t>
            </w:r>
          </w:p>
        </w:tc>
        <w:tc>
          <w:tcPr>
            <w:tcW w:w="6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Services</w:t>
            </w:r>
          </w:p>
        </w:tc>
        <w:tc>
          <w:tcPr>
            <w:tcW w:w="840" w:type="dxa"/>
            <w:vAlign w:val="bottom"/>
            <w:gridSpan w:val="5"/>
          </w:tcPr>
          <w:p>
            <w:pPr>
              <w:jc w:val="right"/>
              <w:ind w:right="1"/>
              <w:spacing w:after="0"/>
              <w:rPr>
                <w:sz w:val="20"/>
                <w:szCs w:val="20"/>
                <w:color w:val="auto"/>
              </w:rPr>
            </w:pPr>
            <w:r>
              <w:rPr>
                <w:rFonts w:ascii="Arial" w:cs="Arial" w:eastAsia="Arial" w:hAnsi="Arial"/>
                <w:sz w:val="18"/>
                <w:szCs w:val="18"/>
                <w:color w:val="auto"/>
              </w:rPr>
              <w:t>(9,697)</w:t>
            </w:r>
          </w:p>
        </w:tc>
        <w:tc>
          <w:tcPr>
            <w:tcW w:w="740" w:type="dxa"/>
            <w:vAlign w:val="bottom"/>
            <w:gridSpan w:val="5"/>
          </w:tcPr>
          <w:p>
            <w:pPr>
              <w:jc w:val="right"/>
              <w:ind w:right="140"/>
              <w:spacing w:after="0"/>
              <w:rPr>
                <w:sz w:val="20"/>
                <w:szCs w:val="20"/>
                <w:color w:val="auto"/>
              </w:rPr>
            </w:pPr>
            <w:r>
              <w:rPr>
                <w:rFonts w:ascii="Arial" w:cs="Arial" w:eastAsia="Arial" w:hAnsi="Arial"/>
                <w:sz w:val="18"/>
                <w:szCs w:val="18"/>
                <w:color w:val="auto"/>
              </w:rPr>
              <w:t>(7.9)</w:t>
            </w:r>
          </w:p>
        </w:tc>
        <w:tc>
          <w:tcPr>
            <w:tcW w:w="1000" w:type="dxa"/>
            <w:vAlign w:val="bottom"/>
            <w:gridSpan w:val="6"/>
          </w:tcPr>
          <w:p>
            <w:pPr>
              <w:jc w:val="right"/>
              <w:ind w:right="130"/>
              <w:spacing w:after="0"/>
              <w:rPr>
                <w:sz w:val="20"/>
                <w:szCs w:val="20"/>
                <w:color w:val="auto"/>
              </w:rPr>
            </w:pPr>
            <w:r>
              <w:rPr>
                <w:rFonts w:ascii="Arial" w:cs="Arial" w:eastAsia="Arial" w:hAnsi="Arial"/>
                <w:sz w:val="18"/>
                <w:szCs w:val="18"/>
                <w:color w:val="auto"/>
              </w:rPr>
              <w:t>(37,147)</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(13.5)</w:t>
            </w:r>
          </w:p>
        </w:tc>
        <w:tc>
          <w:tcPr>
            <w:tcW w:w="880" w:type="dxa"/>
            <w:vAlign w:val="bottom"/>
            <w:gridSpan w:val="5"/>
          </w:tcPr>
          <w:p>
            <w:pPr>
              <w:jc w:val="right"/>
              <w:ind w:right="41"/>
              <w:spacing w:after="0"/>
              <w:rPr>
                <w:sz w:val="20"/>
                <w:szCs w:val="20"/>
                <w:color w:val="auto"/>
              </w:rPr>
            </w:pPr>
            <w:r>
              <w:rPr>
                <w:rFonts w:ascii="Arial" w:cs="Arial" w:eastAsia="Arial" w:hAnsi="Arial"/>
                <w:sz w:val="18"/>
                <w:szCs w:val="18"/>
                <w:color w:val="auto"/>
              </w:rPr>
              <w:t>(84,723)</w:t>
            </w:r>
          </w:p>
        </w:tc>
        <w:tc>
          <w:tcPr>
            <w:tcW w:w="820" w:type="dxa"/>
            <w:vAlign w:val="bottom"/>
            <w:gridSpan w:val="5"/>
          </w:tcPr>
          <w:p>
            <w:pPr>
              <w:jc w:val="right"/>
              <w:ind w:right="200"/>
              <w:spacing w:after="0"/>
              <w:rPr>
                <w:sz w:val="20"/>
                <w:szCs w:val="20"/>
                <w:color w:val="auto"/>
              </w:rPr>
            </w:pPr>
            <w:r>
              <w:rPr>
                <w:rFonts w:ascii="Arial" w:cs="Arial" w:eastAsia="Arial" w:hAnsi="Arial"/>
                <w:sz w:val="18"/>
                <w:szCs w:val="18"/>
                <w:color w:val="auto"/>
              </w:rPr>
              <w:t>(20.5)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(14,146)</w:t>
            </w:r>
          </w:p>
        </w:tc>
        <w:tc>
          <w:tcPr>
            <w:tcW w:w="760" w:type="dxa"/>
            <w:vAlign w:val="bottom"/>
            <w:gridSpan w:val="6"/>
          </w:tcPr>
          <w:p>
            <w:pPr>
              <w:jc w:val="right"/>
              <w:ind w:right="140"/>
              <w:spacing w:after="0"/>
              <w:rPr>
                <w:sz w:val="20"/>
                <w:szCs w:val="20"/>
                <w:color w:val="auto"/>
              </w:rPr>
            </w:pPr>
            <w:r>
              <w:rPr>
                <w:rFonts w:ascii="Arial" w:cs="Arial" w:eastAsia="Arial" w:hAnsi="Arial"/>
                <w:sz w:val="18"/>
                <w:szCs w:val="18"/>
                <w:color w:val="auto"/>
              </w:rPr>
              <w:t>(15.0)</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(29,201)</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rPr>
              <w:t>(90,405)</w:t>
            </w:r>
          </w:p>
        </w:tc>
        <w:tc>
          <w:tcPr>
            <w:tcW w:w="7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1000" w:type="dxa"/>
            <w:vAlign w:val="bottom"/>
            <w:tcBorders>
              <w:right w:val="single" w:sz="8" w:color="CCEEFF"/>
            </w:tcBorders>
            <w:gridSpan w:val="6"/>
            <w:shd w:val="clear" w:color="auto" w:fill="CCEEFF"/>
          </w:tcPr>
          <w:p>
            <w:pPr>
              <w:jc w:val="right"/>
              <w:ind w:right="130"/>
              <w:spacing w:after="0"/>
              <w:rPr>
                <w:sz w:val="20"/>
                <w:szCs w:val="20"/>
                <w:color w:val="auto"/>
              </w:rPr>
            </w:pPr>
            <w:r>
              <w:rPr>
                <w:rFonts w:ascii="Arial" w:cs="Arial" w:eastAsia="Arial" w:hAnsi="Arial"/>
                <w:sz w:val="18"/>
                <w:szCs w:val="18"/>
                <w:color w:val="auto"/>
                <w:w w:val="98"/>
              </w:rPr>
              <w:t>(163,215)</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3"/>
              </w:rPr>
              <w:t>(59.2)</w:t>
            </w:r>
          </w:p>
        </w:tc>
        <w:tc>
          <w:tcPr>
            <w:tcW w:w="8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w w:val="95"/>
              </w:rPr>
              <w:t>(239,877)</w:t>
            </w:r>
          </w:p>
        </w:tc>
        <w:tc>
          <w:tcPr>
            <w:tcW w:w="8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(59,494)</w:t>
            </w:r>
          </w:p>
        </w:tc>
        <w:tc>
          <w:tcPr>
            <w:tcW w:w="7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(66,371)</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(100,102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(81.9)</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8"/>
              </w:rPr>
              <w:t>(200,362</w:t>
            </w:r>
          </w:p>
        </w:tc>
        <w:tc>
          <w:tcPr>
            <w:tcW w:w="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0"/>
              </w:rPr>
              <w:t>(72.7)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(324,600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(78.4)</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(73,640</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(77.9)</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(95,572)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4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22,194</w:t>
            </w:r>
          </w:p>
        </w:tc>
        <w:tc>
          <w:tcPr>
            <w:tcW w:w="7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w:t>
            </w:r>
          </w:p>
        </w:tc>
        <w:tc>
          <w:tcPr>
            <w:tcW w:w="1000" w:type="dxa"/>
            <w:vAlign w:val="bottom"/>
            <w:tcBorders>
              <w:right w:val="single" w:sz="8" w:color="CCEEFF"/>
            </w:tcBorders>
            <w:gridSpan w:val="6"/>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75,116</w:t>
            </w: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w:t>
            </w:r>
          </w:p>
        </w:tc>
        <w:tc>
          <w:tcPr>
            <w:tcW w:w="880" w:type="dxa"/>
            <w:vAlign w:val="bottom"/>
            <w:gridSpan w:val="5"/>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89,597</w:t>
            </w: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21.6</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20,888</w:t>
            </w:r>
          </w:p>
        </w:tc>
        <w:tc>
          <w:tcPr>
            <w:tcW w:w="7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22.1</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16,870</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 expenses</w:t>
            </w:r>
          </w:p>
        </w:tc>
        <w:tc>
          <w:tcPr>
            <w:tcW w:w="8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rPr>
              <w:t>(12,680)</w:t>
            </w:r>
          </w:p>
        </w:tc>
        <w:tc>
          <w:tcPr>
            <w:tcW w:w="7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000" w:type="dxa"/>
            <w:vAlign w:val="bottom"/>
            <w:tcBorders>
              <w:right w:val="single" w:sz="8" w:color="CCEEFF"/>
            </w:tcBorders>
            <w:gridSpan w:val="6"/>
            <w:shd w:val="clear" w:color="auto" w:fill="CCEEFF"/>
          </w:tcPr>
          <w:p>
            <w:pPr>
              <w:jc w:val="right"/>
              <w:ind w:right="130"/>
              <w:spacing w:after="0"/>
              <w:rPr>
                <w:sz w:val="20"/>
                <w:szCs w:val="20"/>
                <w:color w:val="auto"/>
              </w:rPr>
            </w:pPr>
            <w:r>
              <w:rPr>
                <w:rFonts w:ascii="Arial" w:cs="Arial" w:eastAsia="Arial" w:hAnsi="Arial"/>
                <w:sz w:val="18"/>
                <w:szCs w:val="18"/>
                <w:color w:val="auto"/>
              </w:rPr>
              <w:t>(22,215)</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(25,728)</w:t>
            </w:r>
          </w:p>
        </w:tc>
        <w:tc>
          <w:tcPr>
            <w:tcW w:w="8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7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(5,562)</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080" w:type="dxa"/>
            <w:vAlign w:val="bottom"/>
          </w:tcPr>
          <w:p>
            <w:pPr>
              <w:ind w:left="360"/>
              <w:spacing w:after="0" w:line="201" w:lineRule="exact"/>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540"/>
              <w:spacing w:after="0"/>
              <w:rPr>
                <w:sz w:val="20"/>
                <w:szCs w:val="20"/>
                <w:color w:val="auto"/>
              </w:rPr>
            </w:pPr>
            <w:r>
              <w:rPr>
                <w:rFonts w:ascii="Arial" w:cs="Arial" w:eastAsia="Arial" w:hAnsi="Arial"/>
                <w:sz w:val="18"/>
                <w:szCs w:val="18"/>
                <w:color w:val="auto"/>
              </w:rPr>
              <w:t>expenses</w:t>
            </w:r>
          </w:p>
        </w:tc>
        <w:tc>
          <w:tcPr>
            <w:tcW w:w="840" w:type="dxa"/>
            <w:vAlign w:val="bottom"/>
            <w:gridSpan w:val="5"/>
          </w:tcPr>
          <w:p>
            <w:pPr>
              <w:jc w:val="right"/>
              <w:ind w:right="1"/>
              <w:spacing w:after="0"/>
              <w:rPr>
                <w:sz w:val="20"/>
                <w:szCs w:val="20"/>
                <w:color w:val="auto"/>
              </w:rPr>
            </w:pPr>
            <w:r>
              <w:rPr>
                <w:rFonts w:ascii="Arial" w:cs="Arial" w:eastAsia="Arial" w:hAnsi="Arial"/>
                <w:sz w:val="18"/>
                <w:szCs w:val="18"/>
                <w:color w:val="auto"/>
              </w:rPr>
              <w:t>(4,712)</w:t>
            </w:r>
          </w:p>
        </w:tc>
        <w:tc>
          <w:tcPr>
            <w:tcW w:w="740" w:type="dxa"/>
            <w:vAlign w:val="bottom"/>
            <w:gridSpan w:val="5"/>
          </w:tcPr>
          <w:p>
            <w:pPr>
              <w:jc w:val="right"/>
              <w:ind w:right="140"/>
              <w:spacing w:after="0"/>
              <w:rPr>
                <w:sz w:val="20"/>
                <w:szCs w:val="20"/>
                <w:color w:val="auto"/>
              </w:rPr>
            </w:pPr>
            <w:r>
              <w:rPr>
                <w:rFonts w:ascii="Arial" w:cs="Arial" w:eastAsia="Arial" w:hAnsi="Arial"/>
                <w:sz w:val="18"/>
                <w:szCs w:val="18"/>
                <w:color w:val="auto"/>
              </w:rPr>
              <w:t>(3.8)</w:t>
            </w:r>
          </w:p>
        </w:tc>
        <w:tc>
          <w:tcPr>
            <w:tcW w:w="1000" w:type="dxa"/>
            <w:vAlign w:val="bottom"/>
            <w:gridSpan w:val="6"/>
          </w:tcPr>
          <w:p>
            <w:pPr>
              <w:jc w:val="right"/>
              <w:ind w:right="130"/>
              <w:spacing w:after="0"/>
              <w:rPr>
                <w:sz w:val="20"/>
                <w:szCs w:val="20"/>
                <w:color w:val="auto"/>
              </w:rPr>
            </w:pPr>
            <w:r>
              <w:rPr>
                <w:rFonts w:ascii="Arial" w:cs="Arial" w:eastAsia="Arial" w:hAnsi="Arial"/>
                <w:sz w:val="18"/>
                <w:szCs w:val="18"/>
                <w:color w:val="auto"/>
              </w:rPr>
              <w:t>(8,717)</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(3.2)</w:t>
            </w:r>
          </w:p>
        </w:tc>
        <w:tc>
          <w:tcPr>
            <w:tcW w:w="880" w:type="dxa"/>
            <w:vAlign w:val="bottom"/>
            <w:gridSpan w:val="5"/>
          </w:tcPr>
          <w:p>
            <w:pPr>
              <w:jc w:val="right"/>
              <w:ind w:right="41"/>
              <w:spacing w:after="0"/>
              <w:rPr>
                <w:sz w:val="20"/>
                <w:szCs w:val="20"/>
                <w:color w:val="auto"/>
              </w:rPr>
            </w:pPr>
            <w:r>
              <w:rPr>
                <w:rFonts w:ascii="Arial" w:cs="Arial" w:eastAsia="Arial" w:hAnsi="Arial"/>
                <w:sz w:val="18"/>
                <w:szCs w:val="18"/>
                <w:color w:val="auto"/>
              </w:rPr>
              <w:t>(24,516)</w:t>
            </w:r>
          </w:p>
        </w:tc>
        <w:tc>
          <w:tcPr>
            <w:tcW w:w="820" w:type="dxa"/>
            <w:vAlign w:val="bottom"/>
            <w:gridSpan w:val="5"/>
          </w:tcPr>
          <w:p>
            <w:pPr>
              <w:jc w:val="right"/>
              <w:ind w:right="200"/>
              <w:spacing w:after="0"/>
              <w:rPr>
                <w:sz w:val="20"/>
                <w:szCs w:val="20"/>
                <w:color w:val="auto"/>
              </w:rPr>
            </w:pPr>
            <w:r>
              <w:rPr>
                <w:rFonts w:ascii="Arial" w:cs="Arial" w:eastAsia="Arial" w:hAnsi="Arial"/>
                <w:sz w:val="18"/>
                <w:szCs w:val="18"/>
                <w:color w:val="auto"/>
              </w:rPr>
              <w:t>(5.9)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(2,941)</w:t>
            </w:r>
          </w:p>
        </w:tc>
        <w:tc>
          <w:tcPr>
            <w:tcW w:w="760" w:type="dxa"/>
            <w:vAlign w:val="bottom"/>
            <w:gridSpan w:val="6"/>
          </w:tcPr>
          <w:p>
            <w:pPr>
              <w:jc w:val="right"/>
              <w:ind w:right="140"/>
              <w:spacing w:after="0"/>
              <w:rPr>
                <w:sz w:val="20"/>
                <w:szCs w:val="20"/>
                <w:color w:val="auto"/>
              </w:rPr>
            </w:pPr>
            <w:r>
              <w:rPr>
                <w:rFonts w:ascii="Arial" w:cs="Arial" w:eastAsia="Arial" w:hAnsi="Arial"/>
                <w:sz w:val="18"/>
                <w:szCs w:val="18"/>
                <w:color w:val="auto"/>
              </w:rPr>
              <w:t>(3.1)</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(3,827)</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4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(17,392)</w:t>
            </w:r>
          </w:p>
        </w:tc>
        <w:tc>
          <w:tcPr>
            <w:tcW w:w="7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w:t>
            </w:r>
          </w:p>
        </w:tc>
        <w:tc>
          <w:tcPr>
            <w:tcW w:w="1000" w:type="dxa"/>
            <w:vAlign w:val="bottom"/>
            <w:tcBorders>
              <w:right w:val="single" w:sz="8" w:color="CCEEFF"/>
            </w:tcBorders>
            <w:gridSpan w:val="6"/>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(30,392)</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(11.3)</w:t>
            </w:r>
          </w:p>
        </w:tc>
        <w:tc>
          <w:tcPr>
            <w:tcW w:w="8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(50,244)</w:t>
            </w:r>
          </w:p>
        </w:tc>
        <w:tc>
          <w:tcPr>
            <w:tcW w:w="8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(10,300)</w:t>
            </w:r>
          </w:p>
        </w:tc>
        <w:tc>
          <w:tcPr>
            <w:tcW w:w="7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(9,389)</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4,802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44,184</w:t>
            </w:r>
          </w:p>
        </w:tc>
        <w:tc>
          <w:tcPr>
            <w:tcW w:w="280" w:type="dxa"/>
            <w:vAlign w:val="bottom"/>
          </w:tcPr>
          <w:p>
            <w:pPr>
              <w:spacing w:after="0"/>
              <w:rPr>
                <w:sz w:val="20"/>
                <w:szCs w:val="20"/>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39,353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10,588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7,481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6"/>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(309)</w:t>
            </w:r>
          </w:p>
        </w:tc>
        <w:tc>
          <w:tcPr>
            <w:tcW w:w="8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gridSpan w:val="5"/>
          </w:tcPr>
          <w:p>
            <w:pPr>
              <w:jc w:val="right"/>
              <w:ind w:right="61"/>
              <w:spacing w:after="0"/>
              <w:rPr>
                <w:sz w:val="20"/>
                <w:szCs w:val="20"/>
                <w:color w:val="auto"/>
              </w:rPr>
            </w:pPr>
            <w:r>
              <w:rPr>
                <w:rFonts w:ascii="Arial" w:cs="Arial" w:eastAsia="Arial" w:hAnsi="Arial"/>
                <w:sz w:val="18"/>
                <w:szCs w:val="18"/>
                <w:color w:val="auto"/>
              </w:rPr>
              <w:t>2</w:t>
            </w:r>
          </w:p>
        </w:tc>
        <w:tc>
          <w:tcPr>
            <w:tcW w:w="740" w:type="dxa"/>
            <w:vAlign w:val="bottom"/>
            <w:gridSpan w:val="5"/>
          </w:tcPr>
          <w:p>
            <w:pPr>
              <w:jc w:val="right"/>
              <w:ind w:right="200"/>
              <w:spacing w:after="0"/>
              <w:rPr>
                <w:sz w:val="20"/>
                <w:szCs w:val="20"/>
                <w:color w:val="auto"/>
              </w:rPr>
            </w:pPr>
            <w:r>
              <w:rPr>
                <w:rFonts w:ascii="Arial" w:cs="Arial" w:eastAsia="Arial" w:hAnsi="Arial"/>
                <w:sz w:val="18"/>
                <w:szCs w:val="18"/>
                <w:color w:val="auto"/>
              </w:rPr>
              <w:t>0.0</w:t>
            </w:r>
          </w:p>
        </w:tc>
        <w:tc>
          <w:tcPr>
            <w:tcW w:w="1000" w:type="dxa"/>
            <w:vAlign w:val="bottom"/>
            <w:gridSpan w:val="6"/>
          </w:tcPr>
          <w:p>
            <w:pPr>
              <w:jc w:val="right"/>
              <w:ind w:right="190"/>
              <w:spacing w:after="0"/>
              <w:rPr>
                <w:sz w:val="20"/>
                <w:szCs w:val="20"/>
                <w:color w:val="auto"/>
              </w:rPr>
            </w:pPr>
            <w:r>
              <w:rPr>
                <w:rFonts w:ascii="Arial" w:cs="Arial" w:eastAsia="Arial" w:hAnsi="Arial"/>
                <w:sz w:val="18"/>
                <w:szCs w:val="18"/>
                <w:color w:val="auto"/>
              </w:rPr>
              <w:t>58</w:t>
            </w:r>
          </w:p>
        </w:tc>
        <w:tc>
          <w:tcPr>
            <w:tcW w:w="620" w:type="dxa"/>
            <w:vAlign w:val="bottom"/>
            <w:gridSpan w:val="4"/>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5"/>
          </w:tcPr>
          <w:p>
            <w:pPr>
              <w:jc w:val="right"/>
              <w:ind w:right="101"/>
              <w:spacing w:after="0"/>
              <w:rPr>
                <w:sz w:val="20"/>
                <w:szCs w:val="20"/>
                <w:color w:val="auto"/>
              </w:rPr>
            </w:pPr>
            <w:r>
              <w:rPr>
                <w:rFonts w:ascii="Arial" w:cs="Arial" w:eastAsia="Arial" w:hAnsi="Arial"/>
                <w:sz w:val="18"/>
                <w:szCs w:val="18"/>
                <w:color w:val="auto"/>
              </w:rPr>
              <w:t>537</w:t>
            </w: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0.1</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98</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0.1</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color w:val="auto"/>
              </w:rPr>
              <w:t>92</w:t>
            </w:r>
          </w:p>
        </w:tc>
        <w:tc>
          <w:tcPr>
            <w:tcW w:w="660" w:type="dxa"/>
            <w:vAlign w:val="bottom"/>
            <w:gridSpan w:val="5"/>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exchange gains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net</w:t>
            </w:r>
          </w:p>
        </w:tc>
        <w:tc>
          <w:tcPr>
            <w:tcW w:w="84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rPr>
              <w:t>166</w:t>
            </w:r>
          </w:p>
        </w:tc>
        <w:tc>
          <w:tcPr>
            <w:tcW w:w="7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0" w:type="dxa"/>
            <w:vAlign w:val="bottom"/>
            <w:tcBorders>
              <w:right w:val="single" w:sz="8" w:color="CCEEFF"/>
            </w:tcBorders>
            <w:gridSpan w:val="6"/>
            <w:shd w:val="clear" w:color="auto" w:fill="CCEEFF"/>
          </w:tcPr>
          <w:p>
            <w:pPr>
              <w:jc w:val="right"/>
              <w:ind w:right="190"/>
              <w:spacing w:after="0"/>
              <w:rPr>
                <w:sz w:val="20"/>
                <w:szCs w:val="20"/>
                <w:color w:val="auto"/>
              </w:rPr>
            </w:pPr>
            <w:r>
              <w:rPr>
                <w:rFonts w:ascii="Arial" w:cs="Arial" w:eastAsia="Arial" w:hAnsi="Arial"/>
                <w:sz w:val="18"/>
                <w:szCs w:val="18"/>
                <w:color w:val="auto"/>
              </w:rPr>
              <w:t>1,023</w:t>
            </w: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8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(2,012)</w:t>
            </w:r>
          </w:p>
        </w:tc>
        <w:tc>
          <w:tcPr>
            <w:tcW w:w="8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7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Others, net</w:t>
            </w:r>
          </w:p>
        </w:tc>
        <w:tc>
          <w:tcPr>
            <w:tcW w:w="840" w:type="dxa"/>
            <w:vAlign w:val="bottom"/>
            <w:gridSpan w:val="5"/>
          </w:tcPr>
          <w:p>
            <w:pPr>
              <w:jc w:val="right"/>
              <w:ind w:right="1"/>
              <w:spacing w:after="0"/>
              <w:rPr>
                <w:sz w:val="20"/>
                <w:szCs w:val="20"/>
                <w:color w:val="auto"/>
              </w:rPr>
            </w:pPr>
            <w:r>
              <w:rPr>
                <w:rFonts w:ascii="Arial" w:cs="Arial" w:eastAsia="Arial" w:hAnsi="Arial"/>
                <w:sz w:val="18"/>
                <w:szCs w:val="18"/>
                <w:color w:val="auto"/>
              </w:rPr>
              <w:t>(168)</w:t>
            </w:r>
          </w:p>
        </w:tc>
        <w:tc>
          <w:tcPr>
            <w:tcW w:w="740" w:type="dxa"/>
            <w:vAlign w:val="bottom"/>
            <w:gridSpan w:val="5"/>
          </w:tcPr>
          <w:p>
            <w:pPr>
              <w:jc w:val="right"/>
              <w:ind w:right="140"/>
              <w:spacing w:after="0"/>
              <w:rPr>
                <w:sz w:val="20"/>
                <w:szCs w:val="20"/>
                <w:color w:val="auto"/>
              </w:rPr>
            </w:pPr>
            <w:r>
              <w:rPr>
                <w:rFonts w:ascii="Arial" w:cs="Arial" w:eastAsia="Arial" w:hAnsi="Arial"/>
                <w:sz w:val="18"/>
                <w:szCs w:val="18"/>
                <w:color w:val="auto"/>
              </w:rPr>
              <w:t>(0.1)</w:t>
            </w:r>
          </w:p>
        </w:tc>
        <w:tc>
          <w:tcPr>
            <w:tcW w:w="1000" w:type="dxa"/>
            <w:vAlign w:val="bottom"/>
            <w:gridSpan w:val="6"/>
          </w:tcPr>
          <w:p>
            <w:pPr>
              <w:jc w:val="right"/>
              <w:ind w:right="190"/>
              <w:spacing w:after="0"/>
              <w:rPr>
                <w:sz w:val="20"/>
                <w:szCs w:val="20"/>
                <w:color w:val="auto"/>
              </w:rPr>
            </w:pPr>
            <w:r>
              <w:rPr>
                <w:rFonts w:ascii="Arial" w:cs="Arial" w:eastAsia="Arial" w:hAnsi="Arial"/>
                <w:sz w:val="18"/>
                <w:szCs w:val="18"/>
                <w:color w:val="auto"/>
              </w:rPr>
              <w:t>56</w:t>
            </w:r>
          </w:p>
        </w:tc>
        <w:tc>
          <w:tcPr>
            <w:tcW w:w="620" w:type="dxa"/>
            <w:vAlign w:val="bottom"/>
            <w:gridSpan w:val="4"/>
          </w:tcPr>
          <w:p>
            <w:pPr>
              <w:jc w:val="right"/>
              <w:ind w:right="220"/>
              <w:spacing w:after="0"/>
              <w:rPr>
                <w:sz w:val="20"/>
                <w:szCs w:val="20"/>
                <w:color w:val="auto"/>
              </w:rPr>
            </w:pPr>
            <w:r>
              <w:rPr>
                <w:rFonts w:ascii="Arial" w:cs="Arial" w:eastAsia="Arial" w:hAnsi="Arial"/>
                <w:sz w:val="18"/>
                <w:szCs w:val="18"/>
                <w:color w:val="auto"/>
              </w:rPr>
              <w:t>0.0</w:t>
            </w:r>
          </w:p>
        </w:tc>
        <w:tc>
          <w:tcPr>
            <w:tcW w:w="880" w:type="dxa"/>
            <w:vAlign w:val="bottom"/>
            <w:gridSpan w:val="5"/>
          </w:tcPr>
          <w:p>
            <w:pPr>
              <w:jc w:val="right"/>
              <w:ind w:right="101"/>
              <w:spacing w:after="0"/>
              <w:rPr>
                <w:sz w:val="20"/>
                <w:szCs w:val="20"/>
                <w:color w:val="auto"/>
              </w:rPr>
            </w:pPr>
            <w:r>
              <w:rPr>
                <w:rFonts w:ascii="Arial" w:cs="Arial" w:eastAsia="Arial" w:hAnsi="Arial"/>
                <w:sz w:val="18"/>
                <w:szCs w:val="18"/>
                <w:color w:val="auto"/>
              </w:rPr>
              <w:t>156</w:t>
            </w:r>
          </w:p>
        </w:tc>
        <w:tc>
          <w:tcPr>
            <w:tcW w:w="820" w:type="dxa"/>
            <w:vAlign w:val="bottom"/>
            <w:gridSpan w:val="5"/>
          </w:tcPr>
          <w:p>
            <w:pPr>
              <w:jc w:val="right"/>
              <w:ind w:right="260"/>
              <w:spacing w:after="0"/>
              <w:rPr>
                <w:sz w:val="20"/>
                <w:szCs w:val="20"/>
                <w:color w:val="auto"/>
              </w:rPr>
            </w:pPr>
            <w:r>
              <w:rPr>
                <w:rFonts w:ascii="Arial" w:cs="Arial" w:eastAsia="Arial" w:hAnsi="Arial"/>
                <w:sz w:val="18"/>
                <w:szCs w:val="18"/>
                <w:color w:val="auto"/>
              </w:rPr>
              <w:t>0.1</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39</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0.0</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color w:val="auto"/>
              </w:rPr>
              <w:t>167</w:t>
            </w:r>
          </w:p>
        </w:tc>
        <w:tc>
          <w:tcPr>
            <w:tcW w:w="660" w:type="dxa"/>
            <w:vAlign w:val="bottom"/>
            <w:gridSpan w:val="5"/>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45,275</w:t>
            </w: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16.4</w:t>
            </w:r>
          </w:p>
        </w:tc>
        <w:tc>
          <w:tcPr>
            <w:tcW w:w="880" w:type="dxa"/>
            <w:vAlign w:val="bottom"/>
            <w:gridSpan w:val="5"/>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37,725</w:t>
            </w: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9,933</w:t>
            </w:r>
          </w:p>
        </w:tc>
        <w:tc>
          <w:tcPr>
            <w:tcW w:w="7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6,346</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gridSpan w:val="5"/>
          </w:tcPr>
          <w:p>
            <w:pPr>
              <w:jc w:val="right"/>
              <w:ind w:right="1"/>
              <w:spacing w:after="0"/>
              <w:rPr>
                <w:sz w:val="20"/>
                <w:szCs w:val="20"/>
                <w:color w:val="auto"/>
              </w:rPr>
            </w:pPr>
            <w:r>
              <w:rPr>
                <w:rFonts w:ascii="Arial" w:cs="Arial" w:eastAsia="Arial" w:hAnsi="Arial"/>
                <w:sz w:val="18"/>
                <w:szCs w:val="18"/>
                <w:color w:val="auto"/>
              </w:rPr>
              <w:t>(1,945)</w:t>
            </w:r>
          </w:p>
        </w:tc>
        <w:tc>
          <w:tcPr>
            <w:tcW w:w="740" w:type="dxa"/>
            <w:vAlign w:val="bottom"/>
            <w:gridSpan w:val="5"/>
          </w:tcPr>
          <w:p>
            <w:pPr>
              <w:jc w:val="right"/>
              <w:ind w:right="140"/>
              <w:spacing w:after="0"/>
              <w:rPr>
                <w:sz w:val="20"/>
                <w:szCs w:val="20"/>
                <w:color w:val="auto"/>
              </w:rPr>
            </w:pPr>
            <w:r>
              <w:rPr>
                <w:rFonts w:ascii="Arial" w:cs="Arial" w:eastAsia="Arial" w:hAnsi="Arial"/>
                <w:sz w:val="18"/>
                <w:szCs w:val="18"/>
                <w:color w:val="auto"/>
              </w:rPr>
              <w:t>(1.6)</w:t>
            </w:r>
          </w:p>
        </w:tc>
        <w:tc>
          <w:tcPr>
            <w:tcW w:w="1000" w:type="dxa"/>
            <w:vAlign w:val="bottom"/>
            <w:gridSpan w:val="6"/>
          </w:tcPr>
          <w:p>
            <w:pPr>
              <w:jc w:val="right"/>
              <w:ind w:right="130"/>
              <w:spacing w:after="0"/>
              <w:rPr>
                <w:sz w:val="20"/>
                <w:szCs w:val="20"/>
                <w:color w:val="auto"/>
              </w:rPr>
            </w:pPr>
            <w:r>
              <w:rPr>
                <w:rFonts w:ascii="Arial" w:cs="Arial" w:eastAsia="Arial" w:hAnsi="Arial"/>
                <w:sz w:val="18"/>
                <w:szCs w:val="18"/>
                <w:color w:val="auto"/>
              </w:rPr>
              <w:t>(7,820)</w:t>
            </w: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gridSpan w:val="5"/>
          </w:tcPr>
          <w:p>
            <w:pPr>
              <w:jc w:val="right"/>
              <w:ind w:right="41"/>
              <w:spacing w:after="0"/>
              <w:rPr>
                <w:sz w:val="20"/>
                <w:szCs w:val="20"/>
                <w:color w:val="auto"/>
              </w:rPr>
            </w:pPr>
            <w:r>
              <w:rPr>
                <w:rFonts w:ascii="Arial" w:cs="Arial" w:eastAsia="Arial" w:hAnsi="Arial"/>
                <w:sz w:val="18"/>
                <w:szCs w:val="18"/>
                <w:color w:val="auto"/>
              </w:rPr>
              <w:t>(8,468)</w:t>
            </w:r>
          </w:p>
        </w:tc>
        <w:tc>
          <w:tcPr>
            <w:tcW w:w="820" w:type="dxa"/>
            <w:vAlign w:val="bottom"/>
            <w:gridSpan w:val="5"/>
          </w:tcPr>
          <w:p>
            <w:pPr>
              <w:jc w:val="right"/>
              <w:ind w:right="200"/>
              <w:spacing w:after="0"/>
              <w:rPr>
                <w:sz w:val="20"/>
                <w:szCs w:val="20"/>
                <w:color w:val="auto"/>
              </w:rPr>
            </w:pPr>
            <w:r>
              <w:rPr>
                <w:rFonts w:ascii="Arial" w:cs="Arial" w:eastAsia="Arial" w:hAnsi="Arial"/>
                <w:sz w:val="18"/>
                <w:szCs w:val="18"/>
                <w:color w:val="auto"/>
              </w:rPr>
              <w:t>(2.0)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(1,950)</w:t>
            </w:r>
          </w:p>
        </w:tc>
        <w:tc>
          <w:tcPr>
            <w:tcW w:w="760" w:type="dxa"/>
            <w:vAlign w:val="bottom"/>
            <w:gridSpan w:val="6"/>
          </w:tcPr>
          <w:p>
            <w:pPr>
              <w:jc w:val="right"/>
              <w:ind w:right="140"/>
              <w:spacing w:after="0"/>
              <w:rPr>
                <w:sz w:val="20"/>
                <w:szCs w:val="20"/>
                <w:color w:val="auto"/>
              </w:rPr>
            </w:pPr>
            <w:r>
              <w:rPr>
                <w:rFonts w:ascii="Arial" w:cs="Arial" w:eastAsia="Arial" w:hAnsi="Arial"/>
                <w:sz w:val="18"/>
                <w:szCs w:val="18"/>
                <w:color w:val="auto"/>
              </w:rPr>
              <w:t>(2.1)</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(1,607)</w:t>
            </w: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37,455</w:t>
            </w: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w:t>
            </w:r>
          </w:p>
        </w:tc>
        <w:tc>
          <w:tcPr>
            <w:tcW w:w="880" w:type="dxa"/>
            <w:vAlign w:val="bottom"/>
            <w:gridSpan w:val="5"/>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29,257</w:t>
            </w:r>
          </w:p>
        </w:tc>
        <w:tc>
          <w:tcPr>
            <w:tcW w:w="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7,983</w:t>
            </w:r>
          </w:p>
        </w:tc>
        <w:tc>
          <w:tcPr>
            <w:tcW w:w="7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4,739</w:t>
            </w:r>
          </w:p>
        </w:tc>
        <w:tc>
          <w:tcPr>
            <w:tcW w:w="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7" w:lineRule="exact"/>
        <w:rPr>
          <w:sz w:val="20"/>
          <w:szCs w:val="20"/>
          <w:color w:val="auto"/>
        </w:rPr>
      </w:pPr>
    </w:p>
    <w:p>
      <w:pPr>
        <w:ind w:left="540" w:right="560" w:hanging="424"/>
        <w:spacing w:after="0" w:line="253"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Our revenues, which consisted of service revenue generated from GigaCloud 3P and product revenue generated from GigaCloud 1P and off-platform ecommerce sales, increased by 19.0% from $94.5 million in the three months ended March 31, 2021 to $112.4 million in the three months ended March 31, 2022. This increase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was primarily due to continued increase in market demand for large parcel merchandise, leading to increased number of sellers who listed merchandise and numbers of buyers who procured large parcel merchandise in our GigaCloud Marketplace.</w:t>
      </w:r>
    </w:p>
    <w:p>
      <w:pPr>
        <w:spacing w:after="0" w:line="197" w:lineRule="exact"/>
        <w:rPr>
          <w:sz w:val="20"/>
          <w:szCs w:val="20"/>
          <w:color w:val="auto"/>
        </w:rPr>
      </w:pPr>
    </w:p>
    <w:p>
      <w:pPr>
        <w:ind w:left="1420" w:right="40" w:hanging="319"/>
        <w:spacing w:after="0" w:line="253"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Services Revenue from GigaCloud 3P. </w:t>
      </w:r>
      <w:r>
        <w:rPr>
          <w:rFonts w:ascii="Arial" w:cs="Arial" w:eastAsia="Arial" w:hAnsi="Arial"/>
          <w:sz w:val="18"/>
          <w:szCs w:val="18"/>
          <w:color w:val="auto"/>
        </w:rPr>
        <w:t>Our service revenues increased by 52.9% from $20.4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to $31.2 million in the three months ended March 31, 2022. The increase was attributable to (i) an increase in revenues from commission fees due to an increase in transactions in our marketplace driven by increase in the number of active 3P sellers by 73.7% from 236 in the 12 months ended March 31, 2021 to 410 in the 12 months ended March 31, 2022, and the increase in the number of active buyers by 76.9% from 2,138 in the 12 months ended March 31, 2021 to 3,782 in the 12 months ended March 31, 2022; and (ii) an increase in revenues from warehousing fees and delivery fees due to increases in demand and logistics costs as we increased the number of warehouses from 19 in the three months ended March 31, 2021 to 21 in the three months ended March 31, 2022 to provide more warehousing services as the market demand for warehouse services and delivery for large parcels continued to increase.</w:t>
      </w:r>
    </w:p>
    <w:p>
      <w:pPr>
        <w:spacing w:after="0" w:line="223" w:lineRule="exact"/>
        <w:rPr>
          <w:rFonts w:ascii="Arial" w:cs="Arial" w:eastAsia="Arial" w:hAnsi="Arial"/>
          <w:sz w:val="18"/>
          <w:szCs w:val="18"/>
          <w:color w:val="auto"/>
        </w:rPr>
      </w:pPr>
    </w:p>
    <w:p>
      <w:pPr>
        <w:ind w:left="1420" w:right="160" w:hanging="319"/>
        <w:spacing w:after="0" w:line="255"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Product Revenue from GigaCloud 1P. </w:t>
      </w:r>
      <w:r>
        <w:rPr>
          <w:rFonts w:ascii="Arial" w:cs="Arial" w:eastAsia="Arial" w:hAnsi="Arial"/>
          <w:sz w:val="18"/>
          <w:szCs w:val="18"/>
          <w:color w:val="auto"/>
        </w:rPr>
        <w:t>Our product revenues from GigaCloud 1P increased by 28.4% from $42.3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to $54.3 million in the three months ended March 31, 2022. The increase was attributable to an increase in our GigaCloud Marketplace GMV from $89.5 million in the three months ended March 31, 2021 to $113.4 million in the three months ended March 31, 2022, and an increase in the number of our SKUs from 5,172 as of March 31, 2021 to 7,245 as of March 31, 2022, partially offset by a decrease in average spend per buyer in the three months ended March 31, 2022 as consumer demand slowed down due to inflationary pressure.</w:t>
      </w:r>
    </w:p>
    <w:p>
      <w:pPr>
        <w:spacing w:after="0" w:line="219"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Product Revenue from Off-platform Ecommerce. </w:t>
      </w:r>
      <w:r>
        <w:rPr>
          <w:rFonts w:ascii="Arial" w:cs="Arial" w:eastAsia="Arial" w:hAnsi="Arial"/>
          <w:sz w:val="17"/>
          <w:szCs w:val="17"/>
          <w:color w:val="auto"/>
        </w:rPr>
        <w:t>Our product revenues from off-platform ecommerce decreased by 15.4% from</w:t>
      </w:r>
    </w:p>
    <w:p>
      <w:pPr>
        <w:spacing w:after="0" w:line="34" w:lineRule="exact"/>
        <w:rPr>
          <w:rFonts w:ascii="Arial" w:cs="Arial" w:eastAsia="Arial" w:hAnsi="Arial"/>
          <w:sz w:val="17"/>
          <w:szCs w:val="17"/>
          <w:color w:val="auto"/>
        </w:rPr>
      </w:pPr>
    </w:p>
    <w:p>
      <w:pPr>
        <w:ind w:left="1420" w:right="300"/>
        <w:spacing w:after="0" w:line="255" w:lineRule="auto"/>
        <w:rPr>
          <w:rFonts w:ascii="Arial" w:cs="Arial" w:eastAsia="Arial" w:hAnsi="Arial"/>
          <w:sz w:val="17"/>
          <w:szCs w:val="17"/>
          <w:color w:val="auto"/>
        </w:rPr>
      </w:pPr>
      <w:r>
        <w:rPr>
          <w:rFonts w:ascii="Arial" w:cs="Arial" w:eastAsia="Arial" w:hAnsi="Arial"/>
          <w:sz w:val="18"/>
          <w:szCs w:val="18"/>
          <w:color w:val="auto"/>
        </w:rPr>
        <w:t>$31.9 million in the three months ended March 31, 2021 to $27.0 million in the three months ended March 31, 2022. The decrease was attributable to an overall decrease in sales on third-party off-platform ecommerce as consumer demand slowed down due to inflationary pressure.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cost of revenues increased by 29.8% from $73.6 million in the three months ended March 31, 2021 to $95.6 million in the three months ended March 31, 2022, primarily attributable to the overall increase in our revenue and the increases in shipping and handling costs in both cost of services and cost of product sales.</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cost of services increased by 106.4% from $14.1 million in the three months ended March 31, 2021 to $29.2 million in the three months ended March 31, 2022, primarily due to increases in shipping and handling costs as third-party shipping costs, and particularly ocean freight costs, continued to increase globally, and we had an increase in the deliveries of merchandise that we handle from and to sellers and buyers in our marketplace, and increases in rental costs of the portion allocated to our 3P business as we increased the number of warehouses from 19 in the three months ended March 31, 2021 to 21 in the three months ended March 31, 2022.</w:t>
      </w:r>
    </w:p>
    <w:p>
      <w:pPr>
        <w:spacing w:after="0" w:line="176"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Our cost of product sales increased by 11.6% from $59.5 million in the three months ended March 31, 2021 to $66.4 million in the three months ended March 31, 2022, primarily due to the increased products we procured to sell on GigaCloud Marketplace and off-platform ecommerce websites in our 1P business and increases in shipping and handling costs, and particularly, ocean freight costs and rental costs of warehouses that were allocated to 1P products.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a result of the foregoing, our gross profit decreased by 19.2% from $20.9 million in three months ended March 31, 2021 to $16.9 million in the three months ended March 31, 2022. Our gross margin decreased from 22.1% in the three months ended March 31, 2021 to 15.0% in the three months ended March 31, 2022, primarily due to the costs of revenue increased at a faster pace than revenue as shipping and handling costs, and particularly, ocean freight costs, increased significantly compare to the previous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Our selling and marketing expenses decreased by 24.4% from $7.4 million in the three months ended March 31, 2021 to $5.6 million in the three months ended March 31, 2022, which was mainly due to a decrease in staff cost as the sales commission decreased.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Our general and administrative expenses increased by 30.1% from $2.9 million (restated) in the three months ended March 31, 2021 to $3.8 million in the three months ended March 31, 2022, which was mainly due to increases in staff cost as we increased the number of general and administrative staff personnel and property insurance we purchased for our warehouses, partially offset by a decrease in professional service expenses.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20" w:right="560" w:firstLine="881"/>
        <w:spacing w:after="0" w:line="342" w:lineRule="auto"/>
        <w:rPr>
          <w:sz w:val="20"/>
          <w:szCs w:val="20"/>
          <w:color w:val="auto"/>
        </w:rPr>
      </w:pPr>
      <w:r>
        <w:rPr>
          <w:rFonts w:ascii="Arial" w:cs="Arial" w:eastAsia="Arial" w:hAnsi="Arial"/>
          <w:sz w:val="16"/>
          <w:szCs w:val="16"/>
          <w:color w:val="auto"/>
        </w:rPr>
        <w:t>We had interest expenses of $65 thousand and $164 thousand in the three months ended March 31, 2021 and 2022, respectively. The increase was primarily attributable to increases in charges due to the increase in our financial lease interest expense for warehouses in the U.S.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had interest income of $98 thousand and $92 thousand in the three months ended March 31, 2021 and 2022, respectively. The decrease was primarily attributable to a decrease in accounts receivables overdue, partially offset by an increase in interest income from providing cash advances to more sellers in the three months ended March 31, 2022 pursuant to our supply chain financing program.</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Gains / (Losses), Net</w:t>
      </w:r>
    </w:p>
    <w:p>
      <w:pPr>
        <w:spacing w:after="0" w:line="225"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We had foreign currency exchange losses, net of $0.7 million in the three months ended March 31, 2021, compared to $1.2 million in the three months ended March 31, 2022, primarily attributable to appreciation of the U.S. dollar against Euro and Japanese Yen.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Net</w:t>
      </w:r>
    </w:p>
    <w:p>
      <w:pPr>
        <w:spacing w:after="0" w:line="225" w:lineRule="exact"/>
        <w:rPr>
          <w:sz w:val="20"/>
          <w:szCs w:val="20"/>
          <w:color w:val="auto"/>
        </w:rPr>
      </w:pPr>
    </w:p>
    <w:p>
      <w:pPr>
        <w:ind w:left="120" w:right="540" w:firstLine="881"/>
        <w:spacing w:after="0" w:line="342" w:lineRule="auto"/>
        <w:rPr>
          <w:sz w:val="20"/>
          <w:szCs w:val="20"/>
          <w:color w:val="auto"/>
        </w:rPr>
      </w:pPr>
      <w:r>
        <w:rPr>
          <w:rFonts w:ascii="Arial" w:cs="Arial" w:eastAsia="Arial" w:hAnsi="Arial"/>
          <w:sz w:val="16"/>
          <w:szCs w:val="16"/>
          <w:color w:val="auto"/>
        </w:rPr>
        <w:t>We had other income, net of $39 thousand and $167 thousand in the three months ended March 31, 2021 and 2022, respectively. The increase was primarily attributable to a government subsidy that was received in the three months ended March 31, 2022.</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had income tax expense of $2.0 million and $1.6 million in the three months ended March 31, 2021 and 2022, respectively. The decrease was primarily attributable to a decrease in our income before income taxes from $9.9 million in the three months ended March 31, 2021 to $6.3 million in the three months ended March 31, 2022.</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As a result of the foregoing, our net income was $8.0 million (restated) and $4.7 million in the three months ended March 31, 2021 and 2022,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revenues, which consisted of service revenue generated from GigaCloud 3P and product revenue generated from GigaCloud 1P and off-platform ecommerce sales, increased by 50.4% from $275.5 million in 2020 to $414.2 million in 2021. This increase was primarily due to continued increase in market demand for large parcel merchandise, leading to increases in number of sellers who listed merchandise and numbers of buyers who procured large parcel merchandise in our GigaCloud Marketplace.</w:t>
      </w:r>
    </w:p>
    <w:p>
      <w:pPr>
        <w:spacing w:after="0" w:line="214" w:lineRule="exact"/>
        <w:rPr>
          <w:sz w:val="20"/>
          <w:szCs w:val="20"/>
          <w:color w:val="auto"/>
        </w:rPr>
      </w:pPr>
    </w:p>
    <w:p>
      <w:pPr>
        <w:ind w:left="1420" w:hanging="319"/>
        <w:spacing w:after="0" w:line="273"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Service Revenue from GigaCloud 3P</w:t>
      </w:r>
      <w:r>
        <w:rPr>
          <w:rFonts w:ascii="Arial" w:cs="Arial" w:eastAsia="Arial" w:hAnsi="Arial"/>
          <w:sz w:val="17"/>
          <w:szCs w:val="17"/>
          <w:color w:val="auto"/>
        </w:rPr>
        <w:t>. Our service revenues increased by 63.5% from $60.1 million in 2020 to $98.3 million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attributable to (i) an increase in revenues from commission fees due to an increase in transactions in our marketplace driven by increase in the number of active 3P sellers by 81.9% from 210 in 2020 to 382 in 2021, and increase in the number of active buyers by 111.1% from 1,689 in 2020 to 3,566 in 2021; and (ii) an increase in revenues from warehousing fees and delivery fees as we increased the number of warehouses from 17 in 2020 to 21 in 2021 to provide more warehousing services as the market demand for warehouse services and delivery for large parcels continued to increase.</w:t>
      </w:r>
    </w:p>
    <w:p>
      <w:pPr>
        <w:spacing w:after="0" w:line="204" w:lineRule="exact"/>
        <w:rPr>
          <w:rFonts w:ascii="Arial" w:cs="Arial" w:eastAsia="Arial" w:hAnsi="Arial"/>
          <w:sz w:val="17"/>
          <w:szCs w:val="17"/>
          <w:color w:val="auto"/>
        </w:rPr>
      </w:pPr>
    </w:p>
    <w:p>
      <w:pPr>
        <w:ind w:left="1420" w:right="200" w:hanging="319"/>
        <w:spacing w:after="0" w:line="286"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Product Revenue from GigaCloud 1P. </w:t>
      </w:r>
      <w:r>
        <w:rPr>
          <w:rFonts w:ascii="Arial" w:cs="Arial" w:eastAsia="Arial" w:hAnsi="Arial"/>
          <w:sz w:val="17"/>
          <w:szCs w:val="17"/>
          <w:color w:val="auto"/>
        </w:rPr>
        <w:t>Our product revenues from GigaCloud 1P increased by 54.2% from $122.1 million in 2020 to</w:t>
      </w:r>
      <w:r>
        <w:rPr>
          <w:rFonts w:ascii="Arial" w:cs="Arial" w:eastAsia="Arial" w:hAnsi="Arial"/>
          <w:sz w:val="17"/>
          <w:szCs w:val="17"/>
          <w:i w:val="1"/>
          <w:iCs w:val="1"/>
          <w:color w:val="auto"/>
        </w:rPr>
        <w:t xml:space="preserve"> </w:t>
      </w:r>
      <w:r>
        <w:rPr>
          <w:rFonts w:ascii="Arial" w:cs="Arial" w:eastAsia="Arial" w:hAnsi="Arial"/>
          <w:sz w:val="17"/>
          <w:szCs w:val="17"/>
          <w:color w:val="auto"/>
        </w:rPr>
        <w:t>$188.3 million in 2021. This increase was attributable to an increase in the overall market demand for online home furniture which continued to drive the increase in sales per active buyers and an increase in the number of our SKUs.</w:t>
      </w:r>
    </w:p>
    <w:p>
      <w:pPr>
        <w:spacing w:after="0" w:line="192" w:lineRule="exact"/>
        <w:rPr>
          <w:rFonts w:ascii="Arial" w:cs="Arial" w:eastAsia="Arial" w:hAnsi="Arial"/>
          <w:sz w:val="17"/>
          <w:szCs w:val="17"/>
          <w:color w:val="auto"/>
        </w:rPr>
      </w:pPr>
    </w:p>
    <w:p>
      <w:pPr>
        <w:ind w:left="1420" w:right="120" w:hanging="319"/>
        <w:spacing w:after="0" w:line="286"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Product Revenue from Off-platform Ecommerce</w:t>
      </w:r>
      <w:r>
        <w:rPr>
          <w:rFonts w:ascii="Arial" w:cs="Arial" w:eastAsia="Arial" w:hAnsi="Arial"/>
          <w:sz w:val="17"/>
          <w:szCs w:val="17"/>
          <w:color w:val="auto"/>
        </w:rPr>
        <w:t>. Our product revenues from off-platform ecommerce increased by 36.8% from $93.3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2020 to $127.6 million in 2021. The increase was attributable to an increase in the demand for home furniture and an increase in the unit price on third-party ecommerce websites as we sell specialty items with higher unit price.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Our cost of revenues increased by 62.0% from $200.4 million in 2020 to $324.6 million in 2021, which was in line with the overall increase in our revenue.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Our cost of services increased by 128.1% from $37.1 million in 2020 to $84.7 million in 2021, primarily due to increases in shipping and handling costs as third-party shipping costs, and particularly, ocean freight costs, continued to increase globally and we had an increase in the deliveries of merchandise that we handle from and to sellers and buyers in our marketplace, and increases in rental costs of the portion allocated to our 3P business as we increased the number of warehouses from 17 in 2020 to 21 in 2021.</w:t>
      </w:r>
    </w:p>
    <w:p>
      <w:pPr>
        <w:spacing w:after="0" w:line="187"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Our cost of product sales increased by 47.0% from $163.2 million in 2020 to $239.9 million in 2021, primarily due to the increased products we procured to sell on GigaCloud Marketplace and off-platform ecommerce websites in our 1P business and increases in shipping and handling costs, and particularly, ocean freight costs, and rental costs of warehouses that were allocated to 1P products.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As a result of the foregoing, our gross profit increased by 19.3% from $75.1 million in 2020 to $89.6 million in 2021, primarily due to the growth in our GigaCloud GMV and 1P sales. Our gross margin decreased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from 27.3% in 2020 to 21.6% in 2021, primarily due to costs of services increased at a faster pace than service revenues as ocean freight shipping costs increased in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selling and marketing expenses increased by 15.8% from $22.2 million (restated) in 2020 to $25.7 million in 2021, which was mainly due to increases in (i) staff cost from $10.7 million (restated) in 2020 to $12.2 million in 2021, primarily attributable to an increase in headcount in sales and marketing staff from 210 as of December 31, 2020 to 273 as of December 31, 2021, and an increase in average monthly salary in sales and marketing staff; and (ii) platform commission from $7.8 million in 2020 to $11.0 million in 2021, primarily attributable to increases in product sales to individuals on third-party ecommerce websites.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right="320" w:firstLine="881"/>
        <w:spacing w:after="0" w:line="255" w:lineRule="auto"/>
        <w:rPr>
          <w:sz w:val="20"/>
          <w:szCs w:val="20"/>
          <w:color w:val="auto"/>
        </w:rPr>
      </w:pPr>
      <w:r>
        <w:rPr>
          <w:rFonts w:ascii="Arial" w:cs="Arial" w:eastAsia="Arial" w:hAnsi="Arial"/>
          <w:sz w:val="18"/>
          <w:szCs w:val="18"/>
          <w:color w:val="auto"/>
        </w:rPr>
        <w:t>Our general and administrative expenses increased by 181.2% from $8.7 million (restated) in 2020 to $24.5 million in 2021, which was mainly due to (i) an increase in staff costs from $3.5 million (restated) in 2020 to $15.7 million in 2021, primarily attributable to an increase in headcount in general and administrative staff from 77 as of December 31, 2020 to 90 as of December 31, 2021, and an increase in average monthly salary in general and administrative staff; (ii) an increase in professional service fees from $1.7 million in 2020 to $4.9 million in 2021, primarily attributable to tax and accounting consulting services incurred during the period; and (iii) increase in rental costs as we increased our number of warehouses.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We had interest expenses of $46 thousand and $309 thousand in 2020 and 2021, respectively. The increase was primarily attributable to increases in charges due to the increase in our financial lease interest expense for warehouses in the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We had interest income of $58 thousand and $537 thousand in 2020 and 2021, respectively. The increase was primarily attributable to an increase in interest income from providing cash advances to more sellers in 2021 pursuant to our supply chain financing program.</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Gains / (Losses), Net</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We had foreign currency exchange losses, net of $2.0 million in 2021, compared to foreign currency exchange gains, net of $1.0 million in 2020. The change was primarily due to depreciation of the U.S. dollar against Euro and Japanese Yen.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Net</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We had other income, net of $56 thousand and $156 thousand in 2020 and 2021, respectively. The increase was primarily attributable to an increase in government subsidy that was received in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had income tax expense of $7.8 million and $8.5 million in 2020 and 2021, respectively. The increase was primarily attributable to increase in taxable profit due to our business growth.</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As a result of the foregoing, our net income was $37.5 million (restated) and $29.3 million in 2020 and 2021, respectively.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revenues, which consisted of service revenue generated from GigaCloud 3P and product revenue generated from GigaCloud 1P and off-platform ecommerce sales, increased by 125.3% from $122.3 million in 2019 to $275.5 million in 2020. This increase was primarily due to increases in the number of sellers who listed merchandise in our GigaCloud Marketplace, number of buyers who procure large parcel merchandise and number of off-marketplace users who used our third-party logistics services for product shipping and handling. We do not anticipate significant revenue from third-party logistics services to off-marketplace users in the future. The revenue increases was also due to an overall increase demand for large parcel merchandise.</w:t>
      </w:r>
    </w:p>
    <w:p>
      <w:pPr>
        <w:spacing w:after="0" w:line="219" w:lineRule="exact"/>
        <w:rPr>
          <w:sz w:val="20"/>
          <w:szCs w:val="20"/>
          <w:color w:val="auto"/>
        </w:rPr>
      </w:pPr>
    </w:p>
    <w:p>
      <w:pPr>
        <w:ind w:left="1420" w:right="80" w:hanging="319"/>
        <w:spacing w:after="0" w:line="291"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Service Revenue from GigaCloud 3P. </w:t>
      </w:r>
      <w:r>
        <w:rPr>
          <w:rFonts w:ascii="Arial" w:cs="Arial" w:eastAsia="Arial" w:hAnsi="Arial"/>
          <w:sz w:val="16"/>
          <w:szCs w:val="16"/>
          <w:color w:val="auto"/>
        </w:rPr>
        <w:t>Our service revenues increased by 296.9% from $15.2 million in 2019 to $60.1 million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attributable to (i) an increase in revenues from commission fees due to an increase in transactions in our marketplace driven by increase in the number of active 3P sellers by 195.8% from 71 in 2019 to 210 in 2020 and increase in the number of active buyers by 283.0% from 441 in 2019 to 1,689 in 2020; (ii) an increase in revenues from warehousing fees due to an increase in market demand for warehouse services as online home furniture sales increased and (iii) an increase in revenues from delivery fees in line with the increase in market demand for online home furniture. We also provided more third-party logistics services to customer in 2020 to help fulfill their large parcel transportation needs in the U.S. as the demand increased.</w:t>
      </w:r>
    </w:p>
    <w:p>
      <w:pPr>
        <w:spacing w:after="0" w:line="193" w:lineRule="exact"/>
        <w:rPr>
          <w:rFonts w:ascii="Arial" w:cs="Arial" w:eastAsia="Arial" w:hAnsi="Arial"/>
          <w:sz w:val="16"/>
          <w:szCs w:val="16"/>
          <w:color w:val="auto"/>
        </w:rPr>
      </w:pPr>
    </w:p>
    <w:p>
      <w:pPr>
        <w:jc w:val="both"/>
        <w:ind w:left="1420" w:right="14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Product Revenue from GigaCloud 1P</w:t>
      </w:r>
      <w:r>
        <w:rPr>
          <w:rFonts w:ascii="Arial" w:cs="Arial" w:eastAsia="Arial" w:hAnsi="Arial"/>
          <w:sz w:val="18"/>
          <w:szCs w:val="18"/>
          <w:color w:val="auto"/>
        </w:rPr>
        <w:t>. Our product revenues from GigaCloud 1P increased by 189.7% from $42.1 million in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$122.1 million in 2020. This increase was attributable to an increase in the overall market demand for online home furniture, driving the increase in sales per active buyers.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Product Revenue from Off-platform Ecommerce</w:t>
      </w:r>
      <w:r>
        <w:rPr>
          <w:rFonts w:ascii="Arial" w:cs="Arial" w:eastAsia="Arial" w:hAnsi="Arial"/>
          <w:sz w:val="17"/>
          <w:szCs w:val="17"/>
          <w:color w:val="auto"/>
        </w:rPr>
        <w:t>. Our product revenues from off-platform ecommerce increased by 43.4% from</w:t>
      </w:r>
    </w:p>
    <w:p>
      <w:pPr>
        <w:spacing w:after="0" w:line="34" w:lineRule="exact"/>
        <w:rPr>
          <w:rFonts w:ascii="Arial" w:cs="Arial" w:eastAsia="Arial" w:hAnsi="Arial"/>
          <w:sz w:val="17"/>
          <w:szCs w:val="17"/>
          <w:color w:val="auto"/>
        </w:rPr>
      </w:pPr>
    </w:p>
    <w:p>
      <w:pPr>
        <w:ind w:left="1420" w:right="120"/>
        <w:spacing w:after="0" w:line="260" w:lineRule="auto"/>
        <w:rPr>
          <w:rFonts w:ascii="Arial" w:cs="Arial" w:eastAsia="Arial" w:hAnsi="Arial"/>
          <w:sz w:val="17"/>
          <w:szCs w:val="17"/>
          <w:color w:val="auto"/>
        </w:rPr>
      </w:pPr>
      <w:r>
        <w:rPr>
          <w:rFonts w:ascii="Arial" w:cs="Arial" w:eastAsia="Arial" w:hAnsi="Arial"/>
          <w:sz w:val="18"/>
          <w:szCs w:val="18"/>
          <w:color w:val="auto"/>
        </w:rPr>
        <w:t>$65.0 million in 2019 to $93.3 million in 2020. The increase was attributable to an increase in the demand for home furniture and the unit price on third-party ecommerce websites.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Our cost of revenues increased by 100.2% from $100.1 million in 2019 to $200.4 million in 2020, which was in line with the overall increase in our revenue.</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cost of services increased by 283.1% from $9.7 million in 2019 to $37.1 million in 2020, primarily due to the increases in the cost associated with operating our rapidly growing GigaCloud Marketplace, increase in third-party shipping costs and we had an increase in the deliveries of merchandise that we handle from and to sellers and buyers in our marketplace, and increases in rental costs of the portion allocated to our 3P business and numbers of warehouses and staff as we expanded our warehousing and logistic network.</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Our cost of product sales increased by 80.5% from $90.4 million in 2019 to $163.2 million in 2020, primarily due to the increased products we procured to sell on GigaCloud Marketplace in our 1P business and off-platform ecommerce websites and increases in shipping and handling costs and rental costs of warehouses that were allocated to 1P products.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As a result of the foregoing, our gross profit increased by 238.5% from $22.2 million in 2019 to $75.1 million in 2020, primarily due to the growth in GigaCloud Marketplace GMV and sales volume in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301" w:lineRule="auto"/>
        <w:rPr>
          <w:sz w:val="20"/>
          <w:szCs w:val="20"/>
          <w:color w:val="auto"/>
        </w:rPr>
      </w:pPr>
      <w:r>
        <w:rPr>
          <w:rFonts w:ascii="Arial" w:cs="Arial" w:eastAsia="Arial" w:hAnsi="Arial"/>
          <w:sz w:val="16"/>
          <w:szCs w:val="16"/>
          <w:color w:val="auto"/>
        </w:rPr>
        <w:t>marketplace. Our gross margins increased from 18.1% in 2019 to 27.3% in 2020 primarily due to the increase in our revenues as our GigaCloud Marketplace grew and increased economies of scale achieved through our current marketplace model as we utilized our warehouses and logistics network more cost efficiently. Furthermore, in 2019 and 2020, as we gradually transitioned our 1P products suppliers from mainland China to other South East Asian countries, we reduced our exposure to tariffs on Chinese products and achieved better gross margin.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Our selling and marketing expenses increased by 75.2% from $12.7 million in 2019 to $22.2 million (restated) in 2020, which was mainly due to increases in (i) staff cost from $4.0 million in 2019 to $10.7 million (restated) in 2020, primarily attributable to an increase in headcount and average monthly salary in sales and marketing staff, as well as the bonus in accordance with the increased sales; and (ii) platform commission from $6.1 million in 2019 to $7.8 million in 2020, primarily attributable to increases in product sales to individuals on third-party ecommerce websites.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general and administrative expenses increased by 85.0% from $4.7 million in 2019 to $8.7 million (restated) in 2020, which was mainly due to (i) an increase in staff cost from $2.0 million in 2019 to $3.5 million (restated) in 2020, primarily attributable to an increase in general and administrative functions; and (ii) an increase in professional services fees from $0.4 million to $1.7 million, primarily attributable to the tax consulting service, accounting system development service and attorney fee incurred in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We had interest expense of nil and $46 thousand in 2019 and 2020, respectively. The increase was primarily attributable to increases in charges due to the increase in our financial lease interest expense for warehouses in the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had interest income of $2 thousand and $58 thousand in 2019 and 2020, respectively. The increase was primarily attributable to the increase of our cash deposits at financial institutions.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Gains, Net</w:t>
      </w:r>
    </w:p>
    <w:p>
      <w:pPr>
        <w:spacing w:after="0" w:line="225"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Our foreign exchange gains, net increased from $0.2 million in 2019 to $1.0 million in 2020, primarily attributable to the depreciation of the U.S. dollars against the Euro and British Pounds and the increase of transactions denominated in Euro and British Pounds in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Net</w:t>
      </w:r>
    </w:p>
    <w:p>
      <w:pPr>
        <w:spacing w:after="0" w:line="225" w:lineRule="exact"/>
        <w:rPr>
          <w:sz w:val="20"/>
          <w:szCs w:val="20"/>
          <w:color w:val="auto"/>
        </w:rPr>
      </w:pPr>
    </w:p>
    <w:p>
      <w:pPr>
        <w:ind w:left="120" w:right="800" w:firstLine="881"/>
        <w:spacing w:after="0" w:line="342" w:lineRule="auto"/>
        <w:rPr>
          <w:sz w:val="20"/>
          <w:szCs w:val="20"/>
          <w:color w:val="auto"/>
        </w:rPr>
      </w:pPr>
      <w:r>
        <w:rPr>
          <w:rFonts w:ascii="Arial" w:cs="Arial" w:eastAsia="Arial" w:hAnsi="Arial"/>
          <w:sz w:val="16"/>
          <w:szCs w:val="16"/>
          <w:color w:val="auto"/>
        </w:rPr>
        <w:t>We had other expenses, net of $168 thousand in 2019 and other income, net of $56 thousand in 2020, primarily attributable to the impairment of an $140 thousand investment made in 2019 in relation to a PRC company with ecommerce business in the U.S. and Europe.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We had income tax expense of $1.9 million and $7.8 million in 2019 and 2020, respectively. The increase was primarily attributable to increase in taxable profit due to our business growth.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the foregoing, our net income was $37.5 million (restated) in 2020, as compared to $2.9 million in 2019.</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U.S. GAAP, we use Adjusted EBITDA, which is net income excluding interest, income taxes and depreciation, further adjusted to exclude share-based compensation expenses, a non-GAAP financial measure, to understand and evaluate our core operating performance. Non-GAAP financial measure,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U.S. GAAP. The table below sets forth a reconciliation of Adjusted EBITDA from net income for the periods indicated:</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9"/>
          </w:tcPr>
          <w:p>
            <w:pPr>
              <w:jc w:val="right"/>
              <w:ind w:right="240"/>
              <w:spacing w:after="0"/>
              <w:rPr>
                <w:sz w:val="20"/>
                <w:szCs w:val="20"/>
                <w:color w:val="auto"/>
              </w:rPr>
            </w:pPr>
            <w:r>
              <w:rPr>
                <w:rFonts w:ascii="Arial" w:cs="Arial" w:eastAsia="Arial" w:hAnsi="Arial"/>
                <w:sz w:val="14"/>
                <w:szCs w:val="14"/>
                <w:b w:val="1"/>
                <w:bCs w:val="1"/>
                <w:color w:val="auto"/>
                <w:w w:val="97"/>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jc w:val="right"/>
              <w:ind w:right="84"/>
              <w:spacing w:after="0" w:line="119" w:lineRule="exact"/>
              <w:rPr>
                <w:sz w:val="20"/>
                <w:szCs w:val="20"/>
                <w:color w:val="auto"/>
              </w:rPr>
            </w:pPr>
            <w:r>
              <w:rPr>
                <w:rFonts w:ascii="Arial" w:cs="Arial" w:eastAsia="Arial" w:hAnsi="Arial"/>
                <w:sz w:val="13"/>
                <w:szCs w:val="13"/>
                <w:b w:val="1"/>
                <w:bCs w:val="1"/>
                <w:color w:val="auto"/>
              </w:rPr>
              <w:t>2021</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ind w:left="160"/>
              <w:spacing w:after="0"/>
              <w:rPr>
                <w:sz w:val="20"/>
                <w:szCs w:val="20"/>
                <w:color w:val="auto"/>
              </w:rPr>
            </w:pPr>
            <w:r>
              <w:rPr>
                <w:rFonts w:ascii="Arial" w:cs="Arial" w:eastAsia="Arial" w:hAnsi="Arial"/>
                <w:sz w:val="14"/>
                <w:szCs w:val="14"/>
                <w:b w:val="1"/>
                <w:bCs w:val="1"/>
                <w:color w:val="auto"/>
              </w:rPr>
              <w:t>Restated*</w:t>
            </w: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6"/>
          </w:tcPr>
          <w:p>
            <w:pPr>
              <w:ind w:left="20"/>
              <w:spacing w:after="0"/>
              <w:rPr>
                <w:sz w:val="20"/>
                <w:szCs w:val="20"/>
                <w:color w:val="auto"/>
              </w:rPr>
            </w:pPr>
            <w:r>
              <w:rPr>
                <w:rFonts w:ascii="Arial" w:cs="Arial" w:eastAsia="Arial" w:hAnsi="Arial"/>
                <w:sz w:val="14"/>
                <w:szCs w:val="14"/>
                <w:b w:val="1"/>
                <w:bCs w:val="1"/>
                <w:color w:val="auto"/>
              </w:rPr>
              <w:t>Restated*</w:t>
            </w:r>
          </w:p>
        </w:tc>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w:t>
            </w: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2,857</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37,455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29,257</w:t>
            </w:r>
          </w:p>
        </w:tc>
        <w:tc>
          <w:tcPr>
            <w:tcW w:w="6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Add: Income tax expense</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1,945</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7,820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8,468</w:t>
            </w:r>
          </w:p>
        </w:tc>
        <w:tc>
          <w:tcPr>
            <w:tcW w:w="6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1,950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Add: Interest expense</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Interest income</w:t>
            </w:r>
          </w:p>
        </w:tc>
        <w:tc>
          <w:tcPr>
            <w:tcW w:w="600" w:type="dxa"/>
            <w:vAlign w:val="bottom"/>
            <w:gridSpan w:val="4"/>
          </w:tcPr>
          <w:p>
            <w:pPr>
              <w:jc w:val="right"/>
              <w:ind w:right="8"/>
              <w:spacing w:after="0"/>
              <w:rPr>
                <w:sz w:val="20"/>
                <w:szCs w:val="20"/>
                <w:color w:val="auto"/>
              </w:rPr>
            </w:pPr>
            <w:r>
              <w:rPr>
                <w:rFonts w:ascii="Arial" w:cs="Arial" w:eastAsia="Arial" w:hAnsi="Arial"/>
                <w:sz w:val="18"/>
                <w:szCs w:val="18"/>
                <w:color w:val="auto"/>
              </w:rPr>
              <w:t>(2)</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4"/>
          </w:tcPr>
          <w:p>
            <w:pPr>
              <w:jc w:val="right"/>
              <w:ind w:right="580"/>
              <w:spacing w:after="0"/>
              <w:rPr>
                <w:sz w:val="20"/>
                <w:szCs w:val="20"/>
                <w:color w:val="auto"/>
              </w:rPr>
            </w:pPr>
            <w:r>
              <w:rPr>
                <w:rFonts w:ascii="Arial" w:cs="Arial" w:eastAsia="Arial" w:hAnsi="Arial"/>
                <w:sz w:val="18"/>
                <w:szCs w:val="18"/>
                <w:color w:val="auto"/>
              </w:rPr>
              <w:t>(537)</w:t>
            </w:r>
          </w:p>
        </w:tc>
        <w:tc>
          <w:tcPr>
            <w:tcW w:w="1060" w:type="dxa"/>
            <w:vAlign w:val="bottom"/>
            <w:gridSpan w:val="5"/>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Add: Depreciation and amortization</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9,681</w:t>
            </w:r>
          </w:p>
        </w:tc>
        <w:tc>
          <w:tcPr>
            <w:tcW w:w="6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4,928</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45,490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47,953</w:t>
            </w:r>
          </w:p>
        </w:tc>
        <w:tc>
          <w:tcPr>
            <w:tcW w:w="6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540" w:right="540" w:hanging="424"/>
        <w:spacing w:after="0" w:line="253"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See “Prospectus Summary—Conventions that Apply to this Prospectus,” Note 2(c) of our audited consolidated financial statements and Note 1(b) of our unaudited condensed consolidated financial statements included elsewhere in this prospectus.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To date, we have financed our operating and investing activities mainly through cash generated from our business. As of March 31, 2022, we had $48.9 million in cash and $0.7 million in restricted cash.</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July 2022, we entered into a two-year credit facility agreement with Wells Fargo Bank, National Association, under which we are able to borrow up to $50 million during the term of the facility. The credit facility also requires us to comply with various customary covenants and other restrictions. As of the date of this prospectus, we have not made any draw down from this credit facility.</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r>
        <w:rPr>
          <w:rFonts w:ascii="Arial" w:cs="Arial" w:eastAsia="Arial" w:hAnsi="Arial"/>
          <w:sz w:val="17"/>
          <w:szCs w:val="17"/>
          <w:i w:val="1"/>
          <w:iCs w:val="1"/>
          <w:color w:val="auto"/>
        </w:rPr>
        <w: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Although we consolidate the results of our consolidated VIEs, we only have access to the assets or earnings of our consolidated VIEs through our contractual arrangements with our consolidated VIEs and their shareholders (as applicable). See “Corporate History and Structure.” For restrictions and limitations on liquidity and capital resources as a result of our corporate structure, see “—Holding Company Structure.”</w:t>
      </w:r>
    </w:p>
    <w:p>
      <w:pPr>
        <w:spacing w:after="0" w:line="14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As a Cayman Islands exempted company and offshore holding company, we are permitted under PRC laws and regulations to provide funding to our PRC Subsidiaries only through loans or capital contributions, subject to relevant approval, filing and/or reporting with respect to government authorities and limits on the amount of capital contributions and loans. This may delay us from using the proceeds from this offering to make loans or capital contributions to our PRC Subsidiaries, if any. See “Risk Factors—Risks Related to Doing Business in China—PRC regulation of loans to, and direct investments in, PRC entities by offshore holding companies and governmental control of currency conversion may restrict or prevent us from using the proceeds of this offering to make loans or additional capital contributions to our PRC Subsidiaries, which could materially and adversely affect our liquidity and our ability to fund and expand our business.”</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a summary of our cash flows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For the Three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50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Borders>
              <w:bottom w:val="single" w:sz="8" w:color="auto"/>
            </w:tcBorders>
            <w:gridSpan w:val="7"/>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4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7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4"/>
                <w:szCs w:val="14"/>
                <w:b w:val="1"/>
                <w:bCs w:val="1"/>
                <w:color w:val="auto"/>
              </w:rPr>
              <w:t>Summary Consolidated Statement of Cash Flow Data:</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1,157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33,284</w:t>
            </w:r>
          </w:p>
        </w:tc>
        <w:tc>
          <w:tcPr>
            <w:tcW w:w="11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8,556</w:t>
            </w:r>
          </w:p>
        </w:tc>
        <w:tc>
          <w:tcPr>
            <w:tcW w:w="86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(6,459)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(944)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(647)</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(1,825)</w:t>
            </w:r>
          </w:p>
        </w:tc>
        <w:tc>
          <w:tcPr>
            <w:tcW w:w="860" w:type="dxa"/>
            <w:vAlign w:val="bottom"/>
            <w:gridSpan w:val="4"/>
          </w:tcPr>
          <w:p>
            <w:pPr>
              <w:jc w:val="right"/>
              <w:ind w:right="68"/>
              <w:spacing w:after="0"/>
              <w:rPr>
                <w:sz w:val="20"/>
                <w:szCs w:val="20"/>
                <w:color w:val="auto"/>
              </w:rPr>
            </w:pPr>
            <w:r>
              <w:rPr>
                <w:rFonts w:ascii="Arial" w:cs="Arial" w:eastAsia="Arial" w:hAnsi="Arial"/>
                <w:sz w:val="18"/>
                <w:szCs w:val="18"/>
                <w:color w:val="auto"/>
              </w:rPr>
              <w:t>(594)</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23,272</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(2,956)</w:t>
            </w:r>
          </w:p>
        </w:tc>
        <w:tc>
          <w:tcPr>
            <w:tcW w:w="86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(530)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w w:val="97"/>
              </w:rPr>
              <w:t>Effect of foreign currency exchange rate changes on cash and restricted cash</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139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735</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(2,110)</w:t>
            </w:r>
          </w:p>
        </w:tc>
        <w:tc>
          <w:tcPr>
            <w:tcW w:w="860" w:type="dxa"/>
            <w:vAlign w:val="bottom"/>
            <w:gridSpan w:val="4"/>
          </w:tcPr>
          <w:p>
            <w:pPr>
              <w:jc w:val="right"/>
              <w:ind w:right="68"/>
              <w:spacing w:after="0"/>
              <w:rPr>
                <w:sz w:val="20"/>
                <w:szCs w:val="20"/>
                <w:color w:val="auto"/>
              </w:rPr>
            </w:pPr>
            <w:r>
              <w:rPr>
                <w:rFonts w:ascii="Arial" w:cs="Arial" w:eastAsia="Arial" w:hAnsi="Arial"/>
                <w:sz w:val="18"/>
                <w:szCs w:val="18"/>
                <w:color w:val="auto"/>
              </w:rPr>
              <w:t>(3)</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restricted cash</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56,644</w:t>
            </w:r>
          </w:p>
        </w:tc>
        <w:tc>
          <w:tcPr>
            <w:tcW w:w="11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1,665</w:t>
            </w:r>
          </w:p>
        </w:tc>
        <w:tc>
          <w:tcPr>
            <w:tcW w:w="86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(7,586)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and restricted cash at the beginning of the year</w:t>
            </w:r>
          </w:p>
        </w:tc>
        <w:tc>
          <w:tcPr>
            <w:tcW w:w="1260" w:type="dxa"/>
            <w:vAlign w:val="bottom"/>
            <w:gridSpan w:val="4"/>
          </w:tcPr>
          <w:p>
            <w:pPr>
              <w:jc w:val="right"/>
              <w:ind w:right="340"/>
              <w:spacing w:after="0"/>
              <w:rPr>
                <w:sz w:val="20"/>
                <w:szCs w:val="20"/>
                <w:color w:val="auto"/>
              </w:rPr>
            </w:pPr>
            <w:r>
              <w:rPr>
                <w:rFonts w:ascii="Arial" w:cs="Arial" w:eastAsia="Arial" w:hAnsi="Arial"/>
                <w:sz w:val="18"/>
                <w:szCs w:val="18"/>
                <w:color w:val="auto"/>
              </w:rPr>
              <w:t>5,112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5,553</w:t>
            </w: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62,197</w:t>
            </w:r>
          </w:p>
        </w:tc>
        <w:tc>
          <w:tcPr>
            <w:tcW w:w="860" w:type="dxa"/>
            <w:vAlign w:val="bottom"/>
            <w:gridSpan w:val="4"/>
          </w:tcPr>
          <w:p>
            <w:pPr>
              <w:jc w:val="right"/>
              <w:ind w:right="128"/>
              <w:spacing w:after="0"/>
              <w:rPr>
                <w:sz w:val="20"/>
                <w:szCs w:val="20"/>
                <w:color w:val="auto"/>
              </w:rPr>
            </w:pPr>
            <w:r>
              <w:rPr>
                <w:rFonts w:ascii="Arial" w:cs="Arial" w:eastAsia="Arial" w:hAnsi="Arial"/>
                <w:sz w:val="18"/>
                <w:szCs w:val="18"/>
                <w:color w:val="auto"/>
              </w:rPr>
              <w:t>62,197</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63,862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the end of the year</w:t>
            </w:r>
          </w:p>
        </w:tc>
        <w:tc>
          <w:tcPr>
            <w:tcW w:w="12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5,553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62,197</w:t>
            </w:r>
          </w:p>
        </w:tc>
        <w:tc>
          <w:tcPr>
            <w:tcW w:w="11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63,862</w:t>
            </w:r>
          </w:p>
        </w:tc>
        <w:tc>
          <w:tcPr>
            <w:tcW w:w="86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54,611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Net cash used in operating activities in the three months ended March 31, 2022 was $14.5 million, as compared to net cash used in operation activities of $6.5 million in the three months ended March 31, 2021. This was attributable to net income of $4.7 million in the three months ended March 31, 2022, compared to net income of $8.0 million (restated) in the three months ended March 31, 2021. Net income was adjusted primarily by $7.4 million of lease expense to reduce right-of-use assets in the three months ended March 31, 2022, as compared to nil in the three months ended March 31, 2021 because we adopted ASC 842 in 2022 which led to adjustment of operating lease liabilities and right-of-use assets, while net income was adjusted by $0.4 million of deferred tax in the three months ended March 31, 2021. Net income was further adjusted by the changes in working capital, which primarily consisted of (i) an increase of $30.2 million in inventories in the three months ended March 31, 2022 as shipping costs to procure our inventories, including ocean freight costs, are included in inventories and the increase in ocean freight costs has contributed to an increase in our inventories and cash outflows in the three months ended March 31, 2022, as compared to an increase of $9.7 million in inventories in the three months ended March 31, 2021, (ii) a decrease of $6.8 million in operating lease liabilities in the three months ended March 31, 2022 as we adopted ASU 2016-02 in 2022 which recognized right-of-use assets and lease liabilities upon lease commencement for the operating leases for our warehouses, as compared to nil in the three months ended March 31, 2021, (iii) an increase of $8.1 million in accounts payable in the three months ended March 31, 2022 as the costs to procure inventories increased, as compared to an increase of $0.09 million in the three months ended March 31, 2021, and (iv) an increase of $3.1 million in accounts receivable in the three months ended March 31, 2022 for the procurement of inventories, as compared to an increase of $9.2 million in the three months ended March 31, 2021.</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Net cash provided by operating activities in 2021 was $8.6 million. This was attributable to net income of $29.3 million, adjusted primarily by (i) $9.7 million of share-based compensation in relation to share options granted to our employees and non-employees service providers which was only recognized in 2021, and (ii) $2.0 million of unrealized foreign currency exchange losses due to appreciation of the U.S. dollar against Euro and Japanese Yen and (iii) $1.3 million of inventory write-down due to certain slow-moving merchandise and damaged goods as we increased our own inventory which also led to increased write-down; and the changes in working capital, which primarily consisted of (i) an increase of $47.1 million in inventories as we significantly increased our own inventory for our 1P sales as consumer demand continued to increase in 2021 and also due to an increase in shipping costs to procure our inventories, and particularly ocean freight costs, (ii) an increase of $6.3 million in accounts payable as our sales increased driven by the increased numbers of sellers and buyers in our GigaCloud Marketplace, and (iii) a decrease of $5.9 million in accounts receivable as we had better collection in 2021.</w:t>
      </w:r>
    </w:p>
    <w:p>
      <w:pPr>
        <w:spacing w:after="0" w:line="181" w:lineRule="exact"/>
        <w:rPr>
          <w:sz w:val="20"/>
          <w:szCs w:val="20"/>
          <w:color w:val="auto"/>
        </w:rPr>
      </w:pPr>
    </w:p>
    <w:p>
      <w:pPr>
        <w:jc w:val="both"/>
        <w:ind w:left="120" w:firstLine="881"/>
        <w:spacing w:after="0" w:line="287" w:lineRule="auto"/>
        <w:rPr>
          <w:sz w:val="20"/>
          <w:szCs w:val="20"/>
          <w:color w:val="auto"/>
        </w:rPr>
      </w:pPr>
      <w:r>
        <w:rPr>
          <w:rFonts w:ascii="Arial" w:cs="Arial" w:eastAsia="Arial" w:hAnsi="Arial"/>
          <w:sz w:val="16"/>
          <w:szCs w:val="16"/>
          <w:color w:val="auto"/>
        </w:rPr>
        <w:t>Net cash provided by operating activities in 2020 was $33.3 million. This was attributable to net income of $37.5 million (restated), adjusted primarily by $1.0 million of unrealized foreign currency exchange gain; and the changes in working capital, which primarily consisted of an increase of $12.0 million in accrued expenses and other current liabilities as our employees number and staff cost increased from 2019 to 2020, partially offset by</w:t>
      </w:r>
    </w:p>
    <w:p>
      <w:pPr>
        <w:spacing w:after="0" w:line="2" w:lineRule="exact"/>
        <w:rPr>
          <w:sz w:val="20"/>
          <w:szCs w:val="20"/>
          <w:color w:val="auto"/>
        </w:rPr>
      </w:pPr>
    </w:p>
    <w:p>
      <w:pPr>
        <w:ind w:left="120" w:right="220" w:hanging="4"/>
        <w:spacing w:after="0" w:line="273" w:lineRule="auto"/>
        <w:tabs>
          <w:tab w:leader="none" w:pos="3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increase of $13.9 million in inventories as we increased our own inventory for our 1P sales as consumer demand increased significantly in 2020 due to COVID-19, (ii) an increase of $10.1 million in accounts receivables as our business scale increased and users base grew in our marketplace, resulting in more product sales and services revenues, and (iii) an increase of $5.2 million in prepayments and other current assets as we increased the advances paid to suppliers for increased procurement of products as consumer demand increased in 2020.</w:t>
      </w:r>
    </w:p>
    <w:p>
      <w:pPr>
        <w:spacing w:after="0" w:line="176"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Net cash provided by operating activities in 2019 was $1.2 million. This was attributable to net income of $2.9 million, adjusted primarily by (i) $0.3 million of inventory write-down in relation to damaged goods and slow-moving products, (ii) $0.2 million of deferred tax and (iii) $0.1 million of depreciation; and the changes in working capital, which primarily consisted of (i) an increase of $9.3 million in accounts payable as we incurred increased accrued freight costs as our product sales increased, and (ii) an increase of $2.7 million in accrued expenses and other current liabilities as we increased our staff numbers and vendor payable to expand our business. The changes in working capital is further adjusted by (i) an increase of $6.6 million in accounts receivable as our business scale and product sales increased and user base grew in our marketplace, (ii) an increase of $6.9 million in inventories as we increased on own inventory for our 1P sales, and (iii) an increase of $2.3 million in prepayments and other current asset as we increased the advances paid to suppliers for products to continue our business expansion.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Net cash used in investing activities in the three months ended March 31, 2022 was $80 thousand of cash paid for purchase of property and equipment, as compared to net cash used in investing activities of $594 thousand of cash paid for purchase of property and equipment in the three months ended March 31, 2021.</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Net cash used in investing activities in 2021 was $1.8 million, primarily consisted cash paid for purchase of property and equipment.</w:t>
      </w:r>
    </w:p>
    <w:p>
      <w:pPr>
        <w:spacing w:after="0" w:line="237"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Net cash used in investing activities in 2020 was $0.6 million, primarily consisted cash paid for purchase of property and equipment of $0.7 million.</w:t>
      </w:r>
    </w:p>
    <w:p>
      <w:pPr>
        <w:spacing w:after="0" w:line="170"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Net cash used in investing activities in 2019 was $0.9 million, primarily consisted cash paid for purchase of property and equipment of $0.9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firstLine="881"/>
        <w:spacing w:after="0" w:line="257" w:lineRule="auto"/>
        <w:rPr>
          <w:sz w:val="20"/>
          <w:szCs w:val="20"/>
          <w:color w:val="auto"/>
        </w:rPr>
      </w:pPr>
      <w:r>
        <w:rPr>
          <w:rFonts w:ascii="Arial" w:cs="Arial" w:eastAsia="Arial" w:hAnsi="Arial"/>
          <w:sz w:val="18"/>
          <w:szCs w:val="18"/>
          <w:color w:val="auto"/>
        </w:rPr>
        <w:t>Net cash provided by financing activities in the three months ended March 31, 2022 was $0.3 million, primarily attributable to (i) proceeds from prepaid consideration of restricted shares of $1.6 million for employees benefits that we paid in the three months ended March 31, 2022, (ii) cash paid for finance lease obligations of $1.2 million and (iii) repayment of bank loans of $85 thousand, as compared to net cash used in financing activities of $0.5 million in the three months ended March 31, 2021, primarily consisted of cash paid for capital lease obligations of $0.4 million and repayment of bank loans of $0.2 million.</w:t>
      </w:r>
    </w:p>
    <w:p>
      <w:pPr>
        <w:spacing w:after="0" w:line="188" w:lineRule="exact"/>
        <w:rPr>
          <w:sz w:val="20"/>
          <w:szCs w:val="20"/>
          <w:color w:val="auto"/>
        </w:rPr>
      </w:pPr>
    </w:p>
    <w:p>
      <w:pPr>
        <w:jc w:val="both"/>
        <w:ind w:left="120" w:firstLine="881"/>
        <w:spacing w:after="0" w:line="277" w:lineRule="auto"/>
        <w:rPr>
          <w:sz w:val="20"/>
          <w:szCs w:val="20"/>
          <w:color w:val="auto"/>
        </w:rPr>
      </w:pPr>
      <w:r>
        <w:rPr>
          <w:rFonts w:ascii="Arial" w:cs="Arial" w:eastAsia="Arial" w:hAnsi="Arial"/>
          <w:sz w:val="18"/>
          <w:szCs w:val="18"/>
          <w:color w:val="auto"/>
        </w:rPr>
        <w:t>Net cash used in financing activities in 2021 was $3.0 million, primarily attributable to cash paid for capital lease obligations of $2.5 million and repayment of bank loans of $0.4 million by our subsidiaries in Japan and the U.K.</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Net cash provided by financing activities in 2020 was $23.3 million, primarily attributable to (i) proceeds from issuance of preferred shares of $25.0 million and (ii) proceeds from borrowings of $1.2 million, partially offset by the repurchase of vested share-based awards of $2.4 million.</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Net cash provided by financing activities in 2019 was $89 thousand, attributable to proceeds of borrowings from a related party.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capital expenditures consist primarily of purchase of property and equipment. Our capital expenditures were $0.9 million, $0.7 million, $1.8 million and $0.08 million in 2019, 2020, 2021 in the three months ended March 31, 2022, respectively. We intend to fund our future capital expenditures with our existing cash balance, short-term investments and anticipated cash flows from operations. We will continue to make well-planned capital expenditures to meet the expected growth of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contractual obligations as of March 31, 2022:</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0" w:type="dxa"/>
            <w:vAlign w:val="bottom"/>
            <w:vMerge w:val="restart"/>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vMerge w:val="restart"/>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Less than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1 - 3 Years</w:t>
            </w:r>
          </w:p>
        </w:tc>
        <w:tc>
          <w:tcPr>
            <w:tcW w:w="11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1 Year</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91"/>
              </w:rPr>
              <w:t>$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Lease commitment</w:t>
            </w:r>
            <w:r>
              <w:rPr>
                <w:rFonts w:ascii="Arial" w:cs="Arial" w:eastAsia="Arial" w:hAnsi="Arial"/>
                <w:sz w:val="25"/>
                <w:szCs w:val="25"/>
                <w:color w:val="auto"/>
                <w:vertAlign w:val="superscript"/>
              </w:rPr>
              <w:t>(1)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152,789</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33,995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61,884</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470</w:t>
            </w:r>
          </w:p>
        </w:tc>
        <w:tc>
          <w:tcPr>
            <w:tcW w:w="42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153,259</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34,322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62,027</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56,910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Lease commitment consists of the commitments under the lease agreements for our warehouses and storage shelves.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Except for those disclosed above, we did not have any significant capital or other commitments, long-term obligations, or guarantees as of March 31, 2022.</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we address our internal control over financial reporting. We and our independent registered public accounting firm identified one material weakness in our internal control over financial reporting as of December 31, 2020 and 2021.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The material weakness that has been identified relates to our lack of sufficient accounting personnel with appropriate U.S. GAAP knowledge to prepare financial statements in accordance with U.S. GAAP and SEC reporting requirements. This has resulted in a number of accounting errors and omissions, including but not limited to: (1) accounting for the complex transactions such as share-based compensation, redeemable convertible preferred shares and uncertain tax provision; (2) adoption of newly issued accounting standards such as new leases standard; and (3) preparation of financial statements disclosure in accordance with U.S. GAAP. For example, our company’s previously issued 2019 and 2020 consolidated financial statements and the company’s previously issued unaudited condensed financial statements as of and for the three months ended March 31, 2021 were restated due to certain errors in relation to the recognition of share-based compensation expenses. For details, please refer to note 2(c) to our consolidated financial statements and note 1(b) of our unaudited condensed consolidated financial statements included elsewhere in this prospectus.</w:t>
      </w:r>
    </w:p>
    <w:p>
      <w:pPr>
        <w:spacing w:after="0" w:line="19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are in the process of implementing a number of measures to address the material weakness identified, including: (1) hiring additional accounting and financial reporting personnel with U.S. GAAP and SEC reporting experience, (2) expanding the capabilities of existing accounting and financial reporting personnel through continuous training and education in the accounting and reporting requirements under U.S. GAAP, and SEC rules and regulations, (3) establishing clear roles and responsibilities to develop and implement formal comprehensive financial period-end closing policies and procedures to ensure all transactions are properly recorded and disclosed, and (4) establishing effective monitoring and oversight controls for non-recurring and complex transactions to ensure the accuracy and completeness of our consolidated financial statements and related disclosures.</w:t>
      </w:r>
    </w:p>
    <w:p>
      <w:pPr>
        <w:spacing w:after="0" w:line="16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Related to Our Class A Ordinary Shares and this Offering—We have identified one material weakness in our internal control over financial reporting. If our remediation of the material weakness is not effective, or if we experience additional material weaknesses in the future or otherwise fail to maintain proper and effective internal control over financial reporting, our ability to produce accurate and timely consolidated financial statements could be impaired, investors may lose confidence in our financial reporting and the trading price of our Class A ordinary shares may decline.”</w:t>
      </w:r>
    </w:p>
    <w:p>
      <w:pPr>
        <w:spacing w:after="0" w:line="17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As a company with less than $1.07 billion in revenues for the fiscal year ended December 31, 2021,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See “Risk Factors—Risks Related to Our Class A Ordinary Shares and this Offering—We are an emerging growth company, and the reduced disclosure requirements applicable to emerging growth companies may make our Class A ordinary shares less attractive to investors.”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company, GigaCloud Technology Inc, is a holding company incorporated in the Cayman Islands with no material operations of its own and not a direct Chinese or Hong Kong operating company. We conduct our operations primarily through our principal subsidiaries and principal consolidated VIEs. As a result, our ability to pay dividends depends upon dividends paid by our subsidiaries and consolidated controlled affiliates. If our subsidiaries or consolidated VIEs incur debt on their own behalf in the future, the instruments governing their debt may restrict their ability to pay dividends to us.</w:t>
      </w:r>
    </w:p>
    <w:p>
      <w:pPr>
        <w:spacing w:after="0" w:line="188"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addition, as determined in accordance with local regulations, our subsidiaries and consolidated VIEs in certain of our markets may be restricted from paying us dividends offshore or from transferring a portion of their assets to us, either in the form of dividends, loans or advances, unless certain requirements are met or regulatory approvals are obtained. In addition, our subsidiaries and consolidated VIEs may be restricted in their ability to pay dividends or distributions, or make other transfers to us as a result of the laws of their respective jurisdictions of organization and agreements of our subsidiaries and consolidated VIEs. See “Dividend Policy.” Even though we currently do not require any such dividends, loans or advances from our entities for working capital and other funding purposes, we may in the future require additional cash resources from them due to changes in business conditions, to fund future acquisitions and development, or merely to declare and pay dividends or distributions to our shareholders.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To date, inflation in mainland China has not materially impacted our results of operations. According to the National Bureau of Statistics of China, the year-over-year percent changes in the consumer price index for 2020 and 2021 were increases of 2.5% and 0.9%, respectively. In the U.S., in 2022, as well as presently, we have experienced inflationary pressures across various parts of our business and operations, including, but not limited to rising costs across our supply chain. We continue to monitor the impact of inflation in order to minimize its effects through revisions in our budgeting, strategy and procurement efforts. We have entered into a number of contracts with third party transportation service providers to mitigate the impact against any further increase in ocean freight costs in the short-term. If our costs were to be subject to more significant inflationary pressures, we may not be able to fully offset such higher costs through price increases or other cost efficiency measures. Our inability or failure to do so could harm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Class A ordinary shares will be affected by the exchange rate between U.S. dollar and the local currency in the markets we operate because the value of our business is effectively denominated in the local currency, while our Class A ordinary shares will be traded in U.S. dollars. For example, in July 2005, the PRC government changed its decades-old policy of pegging the value of the RMB to the U.S. dollar. The conversion of Renminbi into foreign currencies, including U.S. dollars, is based on rates set by the People’s Bank of China. Since June 2010, the RMB has fluctuated against the US dollar, at times significantly and unpredictably. It is difficult to predict how market forces or the government policy may impact the exchange rate between the RMB and the U.S. dollar in the future. See “Risk Factors—Risks Related to Our Class A Ordinary Shares and this Offering—Fluctuations in currency exchange rates may have a material adverse effect on our results of operations and the value of your investment.”</w:t>
      </w:r>
    </w:p>
    <w:p>
      <w:pPr>
        <w:spacing w:after="0" w:line="166"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To the extent that we need to convert U.S. dollars into the local currency for our operations, appreciation of the local currency against the U.S. dollar would reduce the local currency amount we receive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from the conversion. Conversely, if we decide to convert the local currency into U.S. dollars for the purpose of making payments for dividends on our ordinary shares, servicing our outstanding debt, or for other business purposes, appreciation of the U.S. dollar against the local currency would reduce the U.S. dollar amounts available to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borrowings bear interests at fixed rates. If we were to renew these borrowings, we may be subject to interest rate risks.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have not been exposed to material risks due to changes in market interest rates, and we have not used any derivative financial instruments to manage our interest risk exposure. However, we cannot provide assurance that we will not be exposed to material risks due to changes in market interest rate in the future.</w:t>
      </w:r>
    </w:p>
    <w:p>
      <w:pPr>
        <w:spacing w:after="0" w:line="184"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After the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120" w:right="380" w:firstLine="881"/>
        <w:spacing w:after="0" w:line="311" w:lineRule="auto"/>
        <w:rPr>
          <w:sz w:val="20"/>
          <w:szCs w:val="20"/>
          <w:color w:val="auto"/>
        </w:rPr>
      </w:pPr>
      <w:r>
        <w:rPr>
          <w:rFonts w:ascii="Arial" w:cs="Arial" w:eastAsia="Arial" w:hAnsi="Arial"/>
          <w:sz w:val="16"/>
          <w:szCs w:val="16"/>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49"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76"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following descriptions of critical accounting policies, judgments and estimates should be read in conjunction with our consolidated financial statements and accompanying notes and other disclosures included in this prospectus.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recognize revenues when we satisfy a performance obligation by transferring a promised good or service (that is, an asset) to a customer.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asset is transferred when the customer obtains control of that asset.</w:t>
      </w:r>
    </w:p>
    <w:p>
      <w:pPr>
        <w:spacing w:after="0" w:line="211"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We evaluate whether it is appropriate to record the gross amount of merchandise sales and related costs or the net amount earned as commissions. When we are a principal that obtains control of the specified goods or services before they are transferred to the customers, our revenues should be recognized in the gross amount of consideration to which it expects to be entitled in exchange for the specified goods or services transferred. When we are an agent and our obligation is to facilitate third parties in fulfilling their performance obligation for specified goods or services, the revenues should be recognized in the net amount for the amount of commission which we earn in exchange for arranging for the specified goods or services to be provided by other parties. Revenues are recorded net of value-added taxes.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focus on selling large parcel merchandise to various distributors and individual customers, as well as the provision of ecommerce solutions on our own platform, GigaCloud Marketplace, with which we utilize to democratize access and distribution globally to manufacturers, or sellers, and online resellers, or buyers, without borders. Our revenues include revenues from product sales and services. Product sales include sales on the GigaCloud Marketplace, or GigaCloud 1P, and sales to and through third-party ecommerce websites, or Off-platform ecommerce. Service revenues are generated from services provided to registered users, including sellers and buyers on GigaCloud Marketplace, or GigaCloud 3P.</w:t>
      </w:r>
    </w:p>
    <w:p>
      <w:pPr>
        <w:spacing w:after="0" w:line="161"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We launched a remorse protection program in 2021, pursuant to which buyers on the GigaCloud Marketplace can elect to participate on a transaction-by-transaction basis. Pursuant to the program, buyers shall pay us a fee ranging from 2.0% to 3.8% of the underlying purchase price of the related products they buy in the GigaCloud Marketplace, and we aim at covering a portion of the buyers’ risk when our customers seek compensation/discount on certain items for non-product quality reasons and when actual losses are incurred for up to 60 days from the shipment of products.</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see our remorse protection program as a price differentiation strategy targeted at the more risk-averse buyers in GigaCloud Marketplace. We determine that the fee under the remorse protection program should be calculated based on the purchaser price of the underlying products purchased by the buyers, regardless whether the purchase was made through product sales under GigaCloud 1P or platform services under GigaCloud 3P. In addition, notwithstanding the additional potential for compensation to buyers under the remorse protection program, we have determined that our nature of promise of performance under the remorse protection program to our buyers in GigaCloud Marketplace is no different from the nature of our promise of performance to other buyers that do not enroll into the program, as we have not promised any further performance to our buyers as a result of the program.</w:t>
      </w:r>
    </w:p>
    <w:p>
      <w:pPr>
        <w:spacing w:after="0" w:line="19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Accordingly, we have determined that the performance obligation under the remorse protection program is satisfied at the same point in time as other transactions in GigaCloud Marketplace where the buyers do not enroll in the remorse protection program, when the control over the underlying products is transferred to the customers. The potential for compensation results in the transaction price of the product sales under GigaCloud 1P or platform services under GigaCloud 3P being variable under ASC 606-10-32-6. In this connection, we have taken into account the constraint guidance in ASC 606-10-32-11 and has only included that part of the variable consideration in the transaction price of our product sales under GigaCloud 1P and platform services under GigaCloud 3P such that it is probable that a significant reversal in the amount of cumulative revenue recognized will not occur when the uncertainty associated with the variable consideration is subsequently resolved. We have estimated the amount of variable consideration to be included in the transaction using the “expected value” method and would update its estimated transaction price at the end of each reporting period. Liabilities embodied by us due to the obligations under the remorse protection program were included in “Accrued expenses and other current liabilities.”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GigaCloud 3P</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We enter into contracts with customers, which often include promises to transfer multiple services. For these contracts, we account for individual performance obligations separately if they are capable of being distinct and distinct within the context of the contract. Determining whether services are considered distinct performance obligations may require significant judgment. Judgment is also required to determine the stand-alone selling price, for each distinct performance obligation.</w:t>
      </w:r>
    </w:p>
    <w:p>
      <w:pPr>
        <w:spacing w:after="0" w:line="187"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charge commission fees for sales transaction consummated in GigaCloud Marketplace. We act as an agent, as we do not take control of the merchandise provided by the sellers at any time during the transactions and we do not have latitude over pricing of the merchandise. We set a percentage of the transacted product value as commission fees initially when a transaction is completed; and, for customers whose monthly transaction value reaches certain specified hurdles, they would receive a varying level of credits that is applied retrospectively depending on the tier they have reached. Revenue of commission fee is recognized upon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successful sales of the merchandise by the sellers when the buyers take ownership and control of the merchandise at their wish. As we reset and confirm the credit and hence the effective rate of commission fee for each seller at the end of each calendar month, no estimation is required beyond the end of each month. Since the remorse protection program was launched in 2021, any credits under the program are accounted for as variable consideration when estimating the amount of revenue from commission fees to be recognized to the extent that it is probable that a significant reversal of revenue will not occur. Consistent with the estimation for the similar credits for product sales under GigaCloud 1P, the Group adopts the “expected value” method when estimating such variable consideration and the estimates are updated as additional information becomes available.</w:t>
      </w:r>
    </w:p>
    <w:p>
      <w:pPr>
        <w:spacing w:after="0" w:line="164"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We also offer comprehensive supply chain solutions for sellers. We provide services to help the sellers to ship the merchandise from the sellers’ manufacturing facility to our oversea warehouses, utilizing our extensive shipping network consisting of ocean transportation providers, custom declaration agents, and domestic shipping companies. Further, we also provide warehousing service to the sellers and buyers, whoever have the ownership of the merchandise, in connection with the storage of merchandise in our warehouses, as well as the last-mile delivery services from our warehouses to domestic destinations designated by the buyers. Revenues resulting from these services are recognized over time, as we perform the services in the contracts with continuous transfer of control to the sellers or buyers, and they could simultaneously receive and consume the benefits of our performance as it occurs. We are acting as a principal in providing warehousing service, ocean transportation service and last-mile delivery services and recognizes revenue on a gross basis, as we determine the price and selects carriers on its own discretion.</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sellers and buyers could choose one or several of the above-mentioned services in our GigaCloud Marketplace. Therefore, there may be multiple performance obligations included in one transaction. Revenue is allocated to each performance obligation based on its standalone selling price. We generally determine standalone selling prices based on observable prices. If the standalone selling price is not observable through past transactions, we estimate the standalone selling price based on multiple factors, including but not limited to management approved price list or cost-plus margin analysis.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GigaCloud 1P</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sell our merchandise to our customers, who are the buyers of the GigaCloud Marketplace. We recognize revenues net of discounts and return allowances. Such revenue is recognized at the point in time when the control of the merchandise is transferred to the buyers, which generally occurs upon the shipment out of our warehouses to the destination designated by the buyers.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Off-platform Ecommerce</w:t>
      </w:r>
    </w:p>
    <w:p>
      <w:pPr>
        <w:spacing w:after="0" w:line="225"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There are two sales model under to Off-platform ecommerce, which includes (a) product sales made to third-party ecommerce websites, or Product Sales to B; and (b) product sales to individual customers through third-party ecommerce websites, or Product Sales to C.</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Product Sales to B</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sell our merchandise to third-party ecommerce websites, who normally designate carriers to pick up merchandise from our warehouses. We recognize revenue net of discounts and return allowances. Such revenue is recognized at the point in time when the third-party ecommerce websites obtain control of the merchandise, which occurs when the shipment is out of our warehouse and picked up by the carriers designated by the third-party ecommerce websites. As expenses charged by these websites are not in exchange for a distinct good or service, therefore, the payments to these websites, which are our customers, are not recognized as expenses but recorded net of revenues.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Product Sales to C</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We sell our merchandise to individual customers through third-party ecommerce websites. We recognize revenue when the control is transferred to the individual customers at an amount that reflects the consideration to which we expect to be entitled in exchange of that merchandise. Revenue is recognized at the point in time when the individual customers take possession of merchandise, which is when a merchandise is delivered to the customers. Expenses incurred for product sales made through these websites, which are considered as platform commission, are recorded as selling and marketing expenses.</w:t>
      </w:r>
    </w:p>
    <w:p>
      <w:pPr>
        <w:spacing w:after="0" w:line="188"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Regarding GigaCloud 1P and Off-platform ecommerce, we recognize revenue on a gross basis as we are acting as a principal in these transactions and are responsible for fulfilling the promise to provide the specified merchandise. Significant judgement is required to estimate the variable consideration incurred, which include return allowances as well as the variable consideration arising from the remorse protection program. We estimate the variable consideration based on the volatility of markets and our past experience with similar types of product sales, and include the amounts of variable consideration in the transaction price to the extent that it is probable that a significant reversal of cumulative revenue recognized will not occur when the uncertainty associated with the variable consideration is resolved. Such estimates are made using the “expected value” method and is updated as and when additional information is available. Liabilities for variable consideration were included in “Accrued expenses and other current liabilities.”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We apply ASC 718 to account for our share-based payments. In accordance with ASC 718, we determine whether an award should be classified and accounted for as a liability award or an equity award. All of our share-based awards to employees and non-employee service providers were classified as equity awards.</w:t>
      </w:r>
    </w:p>
    <w:p>
      <w:pPr>
        <w:spacing w:after="0" w:line="184"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Share-based awards granted to employees and non-employee service providers are subject to service and performance conditions. They are measured at the grant date fair value of the awards, and are recognized as compensation expenses using the straight-line basis over the requisite service period, if and when we consider that it is probable that the performance condition will be achieved. The fair value of the share awards is estimated using the binomial option pricing model and is affected by the price of the ordinary shares as well as the assumptions regarding a number of complex and subjective variables, including risk-free interest rate, exercise multiple and expected dividend yield. The fair value of these awards was determined by management with the assistance from a valuation report prepared by an independent valuation firm using management’s estimates and assumptions. We elect to recognize the effect of forfeitures in compensation costs when they occur.</w:t>
      </w:r>
    </w:p>
    <w:p>
      <w:pPr>
        <w:spacing w:after="0" w:line="177" w:lineRule="exact"/>
        <w:rPr>
          <w:sz w:val="20"/>
          <w:szCs w:val="20"/>
          <w:color w:val="auto"/>
        </w:rPr>
      </w:pPr>
    </w:p>
    <w:p>
      <w:pPr>
        <w:ind w:left="120" w:right="340" w:firstLine="881"/>
        <w:spacing w:after="0" w:line="311" w:lineRule="auto"/>
        <w:rPr>
          <w:sz w:val="20"/>
          <w:szCs w:val="20"/>
          <w:color w:val="auto"/>
        </w:rPr>
      </w:pPr>
      <w:r>
        <w:rPr>
          <w:rFonts w:ascii="Arial" w:cs="Arial" w:eastAsia="Arial" w:hAnsi="Arial"/>
          <w:sz w:val="16"/>
          <w:szCs w:val="16"/>
          <w:color w:val="auto"/>
        </w:rPr>
        <w:t>A change in any of the terms or conditions of share-based awards is accounted for as a modification of the awards. Regarding a “not probable-to-probable” modification, which refers to the modification of the award that is not expected to vest under the original vest condition at the date of the modification, we recognize total compensation cost equal to the modified award’s fair value at the date of the modification.</w:t>
      </w:r>
    </w:p>
    <w:p>
      <w:pPr>
        <w:spacing w:after="0" w:line="149"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The fair values of the options granted are estimated on the dates of grant using the binomial option pricing model with the following assumptions used.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the Three</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2240" w:type="dxa"/>
            <w:vAlign w:val="bottom"/>
          </w:tcPr>
          <w:p>
            <w:pPr>
              <w:spacing w:after="0"/>
              <w:rPr>
                <w:sz w:val="12"/>
                <w:szCs w:val="12"/>
                <w:color w:val="auto"/>
              </w:rPr>
            </w:pPr>
          </w:p>
        </w:tc>
        <w:tc>
          <w:tcPr>
            <w:tcW w:w="3560" w:type="dxa"/>
            <w:vAlign w:val="bottom"/>
            <w:gridSpan w:val="4"/>
            <w:vMerge w:val="restart"/>
          </w:tcPr>
          <w:p>
            <w:pPr>
              <w:jc w:val="right"/>
              <w:ind w:right="122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0" w:type="dxa"/>
            <w:vAlign w:val="bottom"/>
          </w:tcPr>
          <w:p>
            <w:pPr>
              <w:spacing w:after="0"/>
              <w:rPr>
                <w:sz w:val="1"/>
                <w:szCs w:val="1"/>
                <w:color w:val="auto"/>
              </w:rPr>
            </w:pPr>
          </w:p>
        </w:tc>
      </w:tr>
      <w:tr>
        <w:trPr>
          <w:trHeight w:val="165"/>
        </w:trPr>
        <w:tc>
          <w:tcPr>
            <w:tcW w:w="410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3560" w:type="dxa"/>
            <w:vAlign w:val="bottom"/>
            <w:gridSpan w:val="4"/>
            <w:vMerge w:val="continue"/>
          </w:tcPr>
          <w:p>
            <w:pPr>
              <w:spacing w:after="0"/>
              <w:rPr>
                <w:sz w:val="14"/>
                <w:szCs w:val="14"/>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8"/>
        </w:trPr>
        <w:tc>
          <w:tcPr>
            <w:tcW w:w="780" w:type="dxa"/>
            <w:vAlign w:val="bottom"/>
            <w:tcBorders>
              <w:top w:val="single" w:sz="8" w:color="auto"/>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9"/>
              <w:spacing w:after="0" w:line="149"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9"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2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0.67%</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4000" w:type="dxa"/>
            <w:vAlign w:val="bottom"/>
            <w:gridSpan w:val="3"/>
          </w:tcPr>
          <w:p>
            <w:pPr>
              <w:jc w:val="right"/>
              <w:ind w:right="760"/>
              <w:spacing w:after="0"/>
              <w:rPr>
                <w:sz w:val="20"/>
                <w:szCs w:val="20"/>
                <w:color w:val="auto"/>
              </w:rPr>
            </w:pPr>
            <w:r>
              <w:rPr>
                <w:rFonts w:ascii="Arial" w:cs="Arial" w:eastAsia="Arial" w:hAnsi="Arial"/>
                <w:sz w:val="18"/>
                <w:szCs w:val="18"/>
                <w:color w:val="auto"/>
              </w:rPr>
              <w:t>45.23%</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44.17%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0.00%</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Exercise multiple</w:t>
            </w:r>
          </w:p>
        </w:tc>
        <w:tc>
          <w:tcPr>
            <w:tcW w:w="4000" w:type="dxa"/>
            <w:vAlign w:val="bottom"/>
            <w:gridSpan w:val="3"/>
          </w:tcPr>
          <w:p>
            <w:pPr>
              <w:jc w:val="right"/>
              <w:ind w:right="900"/>
              <w:spacing w:after="0"/>
              <w:rPr>
                <w:sz w:val="20"/>
                <w:szCs w:val="20"/>
                <w:color w:val="auto"/>
              </w:rPr>
            </w:pPr>
            <w:r>
              <w:rPr>
                <w:rFonts w:ascii="Arial" w:cs="Arial" w:eastAsia="Arial" w:hAnsi="Arial"/>
                <w:sz w:val="18"/>
                <w:szCs w:val="18"/>
                <w:color w:val="auto"/>
              </w:rPr>
              <w:t>2.20/2.80</w:t>
            </w: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2.20/2.80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2.20/2.80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underlying ordinary share</w:t>
            </w:r>
          </w:p>
        </w:tc>
        <w:tc>
          <w:tcPr>
            <w:tcW w:w="40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$2.35</w:t>
            </w:r>
          </w:p>
        </w:tc>
        <w:tc>
          <w:tcPr>
            <w:tcW w:w="18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Expected terms</w:t>
            </w:r>
          </w:p>
        </w:tc>
        <w:tc>
          <w:tcPr>
            <w:tcW w:w="2240" w:type="dxa"/>
            <w:vAlign w:val="bottom"/>
          </w:tcPr>
          <w:p>
            <w:pPr>
              <w:spacing w:after="0"/>
              <w:rPr>
                <w:sz w:val="20"/>
                <w:szCs w:val="20"/>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8"/>
                <w:szCs w:val="18"/>
                <w:color w:val="auto"/>
              </w:rPr>
              <w:t>10 years</w:t>
            </w: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10 years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350"/>
        </w:trPr>
        <w:tc>
          <w:tcPr>
            <w:tcW w:w="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tcPr>
          <w:p>
            <w:pPr>
              <w:jc w:val="right"/>
              <w:ind w:right="610"/>
              <w:spacing w:after="0"/>
              <w:rPr>
                <w:sz w:val="20"/>
                <w:szCs w:val="20"/>
                <w:color w:val="auto"/>
              </w:rPr>
            </w:pPr>
            <w:r>
              <w:rPr>
                <w:rFonts w:ascii="Arial" w:cs="Arial" w:eastAsia="Arial" w:hAnsi="Arial"/>
                <w:sz w:val="18"/>
                <w:szCs w:val="18"/>
                <w:color w:val="auto"/>
              </w:rPr>
              <w:t>147</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expected volatility was estimated based on the historical volatility of comparable peer public companies with a time horizon close to the expected term of our options. The risk-free interest rate was estimated based on the yield to maturity of U.S. treasury bonds denominated in US$ for a term consistent with the expected term of our options in effect at the option valuation date. Expected dividend yield is zero as we do not anticipate any dividend payments in the foreseeable future. The expected exercise multiple was estimated as the average ratio of the stock price to the exercise price of when employees would decide to voluntarily exercise their vested options. Expected term is the contract life of the option.</w:t>
      </w:r>
    </w:p>
    <w:p>
      <w:pPr>
        <w:spacing w:after="0" w:line="176"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As disclosed in “Capitalization” included elsewhere in this prospectus, unrecognized compensation expenses of $9.7 million relating to the share-based awards is expected to be recognized cumulatively upon the completion of this offering, which may lead to significant decrease of net profit or even loss in the quarter when the offering is completed.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account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statements of comprehensive income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carryforward periods, our experience with operating loss and tax credit carryforwards, if any, not expiring.</w:t>
      </w:r>
    </w:p>
    <w:p>
      <w:pPr>
        <w:spacing w:after="0" w:line="182"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We apply a “more-likely-than-not” recognition threshold in the evaluation of uncertain tax positions. We recognize the benefit of a tax position in our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us to adjust the recognition and measurement estimates with regard to individual tax positions. Accordingly, unrecognized tax benefits are periodically reviewed and re-assessed. Adjustments, if required, are recorded in our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We record interest and penalties related to unrecognized tax benefits (if any) in interest expense and general and administrative expenses, respectively.</w:t>
      </w:r>
    </w:p>
    <w:p>
      <w:pPr>
        <w:spacing w:after="0" w:line="18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As disclosed in the note of our consolidated financial statements, as of December 31, 2020 and 2021, we had recognized tax provision on transfer pricing adjustments. Under PRC laws and regulations, an arrangement or transaction among related parties may be subject to audit or challenge by the PRC tax authorities within ten years after the taxable year when the arrangement or transaction takes place. If this occurs, the PRC tax authorities could request our subsidiaries and consolidated VIEs to adjust their taxable income in the form of a transfer pricing adjustment for PRC tax purposes if contractual arrangements among related parties do not represent arm’s length prices. Such a pricing adjustment could adversely affect us by increasing our subsidiaries’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and VIEs’ tax expenses without a corresponding reduction in the tax expenses, which, in turn, could subject to late payment fees and other penalties for underpayment of taxes.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 list of recently issued accounting pronouncements that are relevant to us is included in Note 2 “Recent accounting pronouncements” to our consolidated financial statements included elsewhere in this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320" w:top="459" w:right="5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We are a pioneer of global end-to-end B2B ecommerce solutions for large parcel merchandise. Our B2B ecommerce platform, which we refer to as the “GigaCloud Marketplace,” integrates everything from discovery, payments and logistics tools into one easy-to-use platform. Our global marketplace seamlessly connects manufacturers, primarily in Asia, with resellers, primarily in the U.S., Asia and Europe, to execute cross-border transactions with confidence, speed and efficiency. We offer a true comprehensive solution that transports products from the manufacturer’s warehouse to end customers, all at one fixed price. We first launched our marketplace in January 2019 by focusing on the global furniture market and have since expanded into additional categories such as home appliances and fitness equipment. GigaCloud Marketplace is one of the fastest growing large parcel B2B marketplaces with over $190.5 million, $414.2 million and $438.1 million of GMV transacted in our marketplace in 2020, 2021 and the 12 months ended March 31, 2022, respectively.</w:t>
      </w:r>
    </w:p>
    <w:p>
      <w:pPr>
        <w:spacing w:after="0" w:line="178"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built the GigaCloud Marketplace to democratize access and distribution globally so that manufacturers, who are typically sellers in our marketplace, and online resellers, who are typically buyers in our marketplace, could transact without borders. Manufacturers view our marketplace as an essential sales channel to thousands of online resellers in the U.S. and Europe. Our GigaCloud Marketplace enables manufacturers to deliver their products around the world. Additionally, online resellers may lack the resources and infrastructure to manage a global supply chain and support international distribution. Our integrated ecommerce solutions allow online resellers to offer products and services comparable to those offered by large ecommerce platforms by giving them access to a large and growing catalog of products at wholesale prices, supported by industry-leading global fulfillment capabilities.</w:t>
      </w:r>
    </w:p>
    <w:p>
      <w:pPr>
        <w:spacing w:after="0" w:line="195"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To enhance our marketplace experience, we sell our own inventory, or 1P, through the GigaCloud Marketplace and to and through third-party ecommerce websites, such as Rakuten in Japan, Amazon and Walmart in the U.S. and Wayfair in the U.K. These 1P revenues expand our market presence, reduce inventory and logistics risk for sellers, create more products for buyers, drive volume-based cost efficiencies for sourcing products, provide us with proprietary data and increase the velocity of sales on our marketplace. 1P revenues through the GigaCloud Marketplace and to and through third-party ecommerce websites represented 78.2%, 76.3%, 78.4% and 72.2% of total revenues in 2020, 2021 and the three months ended March 31, 2021 and 2022, respectively. As our GigaCloud Marketplace continues to grow, we expect 1P revenues as a percentage of total revenues to decline over time.</w:t>
      </w:r>
    </w:p>
    <w:p>
      <w:pPr>
        <w:spacing w:after="0" w:line="19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We have built a cross-border fulfillment network optimized for large parcel products. We operate warehouses in four countries across North America, Europe and Asia. The U.S. is our largest market. We operate 21 large-scale warehouses around the world totaling over four million square feet of storage space, cover 11 ports of destination with over ten thousand annual containers, and have an extensive shipping and trucking network via partnerships with major shipping, trucking and freight service providers. By servicing the entire supply chain, we offer sellers and buyers in our marketplace enhanced visibility into product inventory, reducing turnover time and lower transaction costs. On average, we are able to deliver products to end customers within one week of their order and at a fixed rate that is cheaper than standard rates from FedEx and UPS.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AI software that generates seller ratings and credit profiles through volume data. Additionally, our AI optimizes routing by organizing incoming orders and rebalancing inventory levels within our warehousing network. Our software platform includes flexible trading tools with which sellers can set prices based on quantities, delivery dates and fulfillment methods, and buyers have the option to purchase merchandise individually or in bulk.</w:t>
      </w:r>
    </w:p>
    <w:p>
      <w:pPr>
        <w:spacing w:after="0" w:line="187"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leverage our proprietary data and AI to accelerate the network effects in our marketplace. As our marketplace grows, we accumulate user and product data to develop analytical and predicative tools such as product sales forecasts. This information is valuable to our sellers as it allows them to efficiently manage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inventory and pricing. As sellers succeed in our marketplace, more sellers join, which expands our merchandise offerings. Our broad merchandise selection, competitive pricing and virtual warehousing capabilities encourage buyers to join and transact in our marketplace. More buyer activity leads to more sellers, creating a virtuous cycle.</w:t>
      </w:r>
    </w:p>
    <w:p>
      <w:pPr>
        <w:spacing w:after="0" w:line="18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2020, we had 210 active 3P sellers and 1,689 active buyers in our GigaCloud Marketplace, representing a year-over-year increase of 195.8% and 283.0%, respectively. In 2020, our users transacted $190.5 million of GigaCloud Marketplace GMV with an average spend per buyer of $112,777. This is a 437.0% year-over-year increase in GigaCloud Marketplace GMV and a 40.2% year-over-year increase in average spend per buyer from 2019, respectively. Combined with off-platform ecommerce GMV of $93.2 million, the total transactions that we facilitated aggregated a GMV of $283.7 million in 2020.</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2021, we had 382 active 3P sellers and 3,566 active buyers in our GigaCloud Marketplace, representing a year-over-year increase of 81.9% and 111.1%, respectively. In 2021, our users transacted $414.2 million of GigaCloud Marketplace GMV with an average spend per buyer of $116,150. This is a 117.4% year-over-year increase in GigaCloud Marketplace GMV and a 3.0% year-over-year increase in average spend per buyer from 2020, respectively. Combined with off-platform ecommerce GMV of $127.6 million, the total transactions that we facilitated aggregated a GMV of $541.8 million in 2021.</w:t>
      </w:r>
    </w:p>
    <w:p>
      <w:pPr>
        <w:spacing w:after="0" w:line="18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the 12 months ended March 31, 2022, we had 410 active 3P sellers and 3,782 active buyers in our GigaCloud Marketplace, representing a year-over-year increase of 73.7% and 76.9%, respectively. In the 12 months ended March 31, 2022, our users transacted $438.1 million of GigaCloud Marketplace GMV with an average spend per buyer of $115,845. This is a 69.1% year-over-year increase in GigaCloud Marketplace GMV and a 4.4% year-over-year decrease in average spend per buyer from the 12 months ended March 31, 2021, respectively. Combined with off-platform ecommerce GMV of $122.7 million, the total transactions that we facilitated aggregated a GMV of $560.8 million in the 12 months ended March 31, 2022, representing a 54.1% increase in GMV year-over-year from the 12 months ended March 31, 2021.</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experienced significant growth over the last three years. In 2019, 2020, 2021 and the three months ended March 31, 2021 and 2022:</w:t>
      </w:r>
    </w:p>
    <w:p>
      <w:pPr>
        <w:spacing w:after="0" w:line="275" w:lineRule="exact"/>
        <w:rPr>
          <w:sz w:val="20"/>
          <w:szCs w:val="20"/>
          <w:color w:val="auto"/>
        </w:rPr>
      </w:pPr>
    </w:p>
    <w:p>
      <w:pPr>
        <w:ind w:left="1420" w:right="220" w:hanging="319"/>
        <w:spacing w:after="0" w:line="263"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generated total revenues of $122.3 million, $275.5 million, $414.2 million, $94.5 million and $112.4 million, respectively, representing 125.3% and 50.4% year-over-year growth in 2020 and 2021, respectively, and 19.0% period-over-period growth in the three months ended March 31, 2022;</w:t>
      </w:r>
    </w:p>
    <w:p>
      <w:pPr>
        <w:spacing w:after="0" w:line="210"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generated gross profit of $22.2 million, $75.1 million, $89.6 million, $20.9 million and $16.9 million, respectively, representing 18.1%, 27.3%, 21.6%, 22.1% and 15.0% of total revenues, respectively;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net income was $2.9 million, $37.5 million (restated), $29.3 million, $8.0 million (restated) and $4.7 million, respectively;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Adjusted EBITDA was $4.9 million, $45.5 million, $48.0 million, $10.0 million and $6.9 million, respectively.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See “Selected Consolidated Financial and Operating Data—Non-GAAP Financial Measures” for information regarding our use of Adjusted EBITDA and a reconciliation of net income to Adjusted EBITDA.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is a summary of our key financial and operating metrics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12 Months Ended</w:t>
            </w:r>
          </w:p>
        </w:tc>
      </w:tr>
      <w:tr>
        <w:trPr>
          <w:trHeight w:val="191"/>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6"/>
              </w:rPr>
              <w:t>For the Year Ended December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gridSpan w:val="2"/>
          </w:tcPr>
          <w:p>
            <w:pPr>
              <w:spacing w:after="0"/>
              <w:rPr>
                <w:sz w:val="16"/>
                <w:szCs w:val="16"/>
                <w:color w:val="auto"/>
              </w:rPr>
            </w:pPr>
          </w:p>
        </w:tc>
      </w:tr>
      <w:tr>
        <w:trPr>
          <w:trHeight w:val="135"/>
        </w:trPr>
        <w:tc>
          <w:tcPr>
            <w:tcW w:w="6360" w:type="dxa"/>
            <w:vAlign w:val="bottom"/>
          </w:tcPr>
          <w:p>
            <w:pPr>
              <w:spacing w:after="0" w:line="135" w:lineRule="exact"/>
              <w:rPr>
                <w:sz w:val="20"/>
                <w:szCs w:val="20"/>
                <w:color w:val="auto"/>
              </w:rPr>
            </w:pPr>
            <w:r>
              <w:rPr>
                <w:rFonts w:ascii="Arial" w:cs="Arial" w:eastAsia="Arial" w:hAnsi="Arial"/>
                <w:sz w:val="14"/>
                <w:szCs w:val="14"/>
                <w:b w:val="1"/>
                <w:bCs w:val="1"/>
                <w:color w:val="auto"/>
              </w:rPr>
              <w:t>GigaCloud Marketplace:</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6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GigaCloud Marketplace GMV (in $ thousands)</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5"/>
              </w:rPr>
              <w:t>$ 35,468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$ 190,480</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$ 414,192</w:t>
            </w:r>
          </w:p>
        </w:tc>
        <w:tc>
          <w:tcPr>
            <w:tcW w:w="9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$ 259,050</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$ 438,126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Active 3P sellers</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71</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210</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382</w:t>
            </w:r>
          </w:p>
        </w:tc>
        <w:tc>
          <w:tcPr>
            <w:tcW w:w="980" w:type="dxa"/>
            <w:vAlign w:val="bottom"/>
            <w:gridSpan w:val="4"/>
          </w:tcPr>
          <w:p>
            <w:pPr>
              <w:jc w:val="right"/>
              <w:ind w:right="48"/>
              <w:spacing w:after="0"/>
              <w:rPr>
                <w:sz w:val="20"/>
                <w:szCs w:val="20"/>
                <w:color w:val="auto"/>
              </w:rPr>
            </w:pPr>
            <w:r>
              <w:rPr>
                <w:rFonts w:ascii="Arial" w:cs="Arial" w:eastAsia="Arial" w:hAnsi="Arial"/>
                <w:sz w:val="18"/>
                <w:szCs w:val="18"/>
                <w:color w:val="auto"/>
              </w:rPr>
              <w:t>236</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Active buyers</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1,689</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3,566</w:t>
            </w:r>
          </w:p>
        </w:tc>
        <w:tc>
          <w:tcPr>
            <w:tcW w:w="98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2,138</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3,782</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Spend per active buyer (in $)</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85"/>
              </w:rPr>
              <w:t>$ 80,427</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$ 112,777</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$ 116,150</w:t>
            </w:r>
          </w:p>
        </w:tc>
        <w:tc>
          <w:tcPr>
            <w:tcW w:w="980" w:type="dxa"/>
            <w:vAlign w:val="bottom"/>
            <w:gridSpan w:val="4"/>
          </w:tcPr>
          <w:p>
            <w:pPr>
              <w:jc w:val="right"/>
              <w:ind w:right="48"/>
              <w:spacing w:after="0"/>
              <w:rPr>
                <w:sz w:val="20"/>
                <w:szCs w:val="20"/>
                <w:color w:val="auto"/>
              </w:rPr>
            </w:pPr>
            <w:r>
              <w:rPr>
                <w:rFonts w:ascii="Arial" w:cs="Arial" w:eastAsia="Arial" w:hAnsi="Arial"/>
                <w:sz w:val="18"/>
                <w:szCs w:val="18"/>
                <w:color w:val="auto"/>
              </w:rPr>
              <w:t>$ 121,165</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$ 115,845</w:t>
            </w:r>
          </w:p>
        </w:tc>
      </w:tr>
    </w:tbl>
    <w:p>
      <w:pPr>
        <w:spacing w:after="0" w:line="18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Despite the global disruption including fulfillment network capacity and supply chain constraints caused by the COVID-19 pandemic, our growth was accelerated by the trend of consumers purchasing products online, as consumers are furnishing their apartments and homes to better serve their work-at-home and play-at-home needs during the COVID-19 pandemic. In the second quarter of 2020, our GigaCloud MarketPlace GMV grew at 122.9% compared to the previous quarter, which was the highest quarter-over-quarter growth rate of our GigaCloud MarketPlace GMV in 2020. We believe the onset of the COVID-19 pandemic has accelerated the adoption of our marketplace and our GigaCloud MarketPlace GMV continued to grow in the remaining quarters in 2020, 2021 and in the first quarter of 2022.</w:t>
      </w:r>
    </w:p>
    <w:p>
      <w:pPr>
        <w:spacing w:after="0" w:line="178"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We are focused on facilitating B2B ecommerce transactions in our GigaCloud Marketplace. We generate 3P and 1P revenues through three revenue streams:</w:t>
      </w:r>
    </w:p>
    <w:p>
      <w:pPr>
        <w:spacing w:after="0" w:line="197" w:lineRule="exact"/>
        <w:rPr>
          <w:sz w:val="20"/>
          <w:szCs w:val="20"/>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GigaCloud 3P: </w:t>
      </w:r>
      <w:r>
        <w:rPr>
          <w:rFonts w:ascii="Arial" w:cs="Arial" w:eastAsia="Arial" w:hAnsi="Arial"/>
          <w:sz w:val="18"/>
          <w:szCs w:val="18"/>
          <w:color w:val="auto"/>
        </w:rPr>
        <w:t>generates service revenues by facilitating transactions between sellers and buyers in our marketplace.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GigaCloud 1P: </w:t>
      </w:r>
      <w:r>
        <w:rPr>
          <w:rFonts w:ascii="Arial" w:cs="Arial" w:eastAsia="Arial" w:hAnsi="Arial"/>
          <w:sz w:val="18"/>
          <w:szCs w:val="18"/>
          <w:color w:val="auto"/>
        </w:rPr>
        <w:t>generates product revenues through the sale of our inventory in our marketplace.</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Off-platform Ecommerce: </w:t>
      </w:r>
      <w:r>
        <w:rPr>
          <w:rFonts w:ascii="Arial" w:cs="Arial" w:eastAsia="Arial" w:hAnsi="Arial"/>
          <w:sz w:val="18"/>
          <w:szCs w:val="18"/>
          <w:color w:val="auto"/>
        </w:rPr>
        <w:t>generates product revenues through the sale of our inventory to and through third-party ecommerce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GigaCloud 3P and GigaCloud 1P together make up our GigaCloud Marketplace, generating service revenues and product revenues, respectively. GigaCloud 1P and off-platform ecommerce make up our total 1P, or product revenues. These three revenue streams complement each other to improve our value proposition to sellers and buyers in our GigaCloud Marketplace.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GigaCloud Marketplace, our global B2B ecommerce platform, integrates everything from product discovery, payments and logistics tools into one easy-to-use platform. Sellers and buyers from our targeted markets around the world leverage our cross-border fulfillment network which is optimized for large parcel products in order to trade with each other while saving costs. Underpinned by a network of strategically-placed warehouses and supply chain capabilities, our marketplace is designed to simplify and mitigate logistics and inventory requirements for both our sellers and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125730</wp:posOffset>
            </wp:positionV>
            <wp:extent cx="5160645" cy="2922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606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GigaCloud 3P</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Through GigaCloud 3P, we derive service revenues through the various activities of sellers and buyers in our GigaCloud Marketplace, which result in commission fees, warehousing fees, last mile delivery fees, fulfillment fees and other fees. When a seller and buyer enter into a transaction in GigaCloud Marketplace, we earn a percentage commission depending on the transaction value. The standard commission ranges between 1% and 5% depending on the size of the transaction. We also charge warehousing fees in connection with the storage of products in our warehouses, last-mile delivery fees if the buyer requires last-mile delivery services, and fulfillment fees for other freight services such as delivery of products via ocean transportation. In 2019, 2020, 2021 and in the three months ended March 31, 2022, from time to time when we had excess fulfillment capacity, we also provided third-party logistics services to customers to help fulfill their large parcel transportation in the U.S. leveraging our extensive logistics network. Given the growth of our marketplace, moving forward, we expect to use our fulfillment capacity predominantly for GigaCloud Marketplace customers, only offering separate third-party logistics services to optimize utilization. As we continue to grow our GigaCloud Marketplace, we expect to dedicate our logistics capacity to products sold on our own marketplace, and will opportunistically provide third-party logistics services when there is excess capacity within our network.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GigaCloud 1P</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Through GigaCloud 1P, we further enhance our marketplace experience by selling our own inventory. Our 1P selling creates more products for buyers, gives us insights into seller needs, provides us with proprietary data and increases the velocity of sales in our marketplace. Our GigaCloud 1P business generates revenues from product sales.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Off-platform Ecommerce</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addition to facilitating transactions in our GigaCloud Marketplace, we also procure highly-rated products directly from manufacturers and sell them directly to and through third-party websites such as Rakuten, Amazon, Walmart and Wayfair as part of our off-platform ecommerce business. Off-platform ecommerce sales deepen our relationships with sellers and provide us with proprietary data. Our off-platform ecommerce business generates revenues from product sales to both end customers and to third-party ecommerce websites.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Sellers and Buyers</w:t>
      </w:r>
    </w:p>
    <w:p>
      <w:pPr>
        <w:spacing w:after="0" w:line="229"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In 2020 and 2021, GigaCloud Marketplace had 210 and 382 active 3P sellers, and 1,689 and 3,566 active buyers, respectively. In the 12 months ended March 31, 2022, GigaCloud Marketplace had 410 active 3P sellers and 3,782 active buyers. Sellers in our marketplace are typically manufacturers based in Asia, who are able to leverage our supply chain capabilities to establish overseas sales channels without having to invest in their own logistics, as well as decouple from intermediaries. The buyers in our marketplace are typically resellers based in the U.S. and Europe that procure products at wholesale price and subsequently sell on third-party B2C platforms.</w:t>
      </w:r>
    </w:p>
    <w:p>
      <w:pPr>
        <w:spacing w:after="0" w:line="176"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We enter into open-ended framework agreements, terminable by notice from either party, with the manufacturers that act as 3P sellers in our GigaCloud Marketplace that entitle us to a commission on sales, as well as warehousing and logistics fees for storage and shipping across our network. The standard commission ranges between 1% and 5% depending on the size of the transaction. The buyers, or resellers, in our GigaCloud Marketplace must agree to our standard terms in order to maintain an account and place orders on our platform.</w:t>
      </w:r>
    </w:p>
    <w:p>
      <w:pPr>
        <w:spacing w:after="0" w:line="171"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We believe that as more manufacturers join our marketplace as sellers, more resellers will join our marketplace as buyers. Our GigaCloud 1P and off-platform ecommerce business accelerate this virtuous cycle by adding sellers into our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133985</wp:posOffset>
            </wp:positionV>
            <wp:extent cx="3608705" cy="22542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0870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 to Sellers</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We lower the barriers to entry for sellers in our marketplace, who are able to quickly gain access to the key global markets in which we operate, including the U.S., the U.K., Germany and Japan. Sellers can directly connect with resellers in our marketplace and leverage our supply chain capabilities to establish overseas sales channels without having to invest in their own logistics. We manage the entire logistics process from the moment the product leaves the factory floor, and simplify the process by offering a flat rate program for shipping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handling. Leveraging our algorithm, we determine when and where to ship a product, reduce the amount of time a product is handled and select the most effective delivery mechanism for the product. Sellers are able to leverage our warehouse space, which we charge on a per cubic foot per day basis, in order to increase warehouse utilization rates and reduce cost. Our platform provides multiple channels through which sellers can sell their product, enhancing their inventory turnover rate and increasing their profitability. Many of the sellers operating in our GigaCloud Marketplace were originally suppliers of our 1P inventory that later joined the GigaCloud Marketplace as 3P sellers.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 to Buyers</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Our marketplace offers one-stop-shop logistics solutions for a broad catalog of large parcel products sourced globally. We offer virtual warehousing and multiple fulfillment solutions including cloud courier, cloud wholesale fulfillment, white glove and drop shipping solutions so buyers do not need to manage physical order fulfillment. With 21 large-scale warehouses strategically positioned in key markets around the world, we have the capability to reach over 90% of customers in the lower 48 states in the U.S. within an average of three days of delivery time. Our solution effectively minimizes inventory risk for buyers and allows them to reach customers across geographies at an affordable price.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also provide buyers the optionality to pre-sell products through their own channels before placing an order in GigaCloud Marketplace.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significantly reduces buyers’ working capital needs and allow them to scale more efficiently.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U.S. B2B large parcel market is massive and underpenetrated by ecommerce, largely due to the supply chain complexities of moving bulky items. We expect increasing adoption of end-to-end B2B ecommerce marketplaces by manufacturers and resellers globally as they compete against large ecommerce platforms in today’s digital retail economy.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U.S. B2B ecommerce market is massive and fast growing</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U.S. B2B market is estimated at $14.8 trillion, nearly three times the size of the U.S. retail sales market and is currently underpenetrated by ecommerce. According to Frost and Sullivan, ecommerce penetration for U.S. B2B sales is estimated at 9.0%, lagging U.S. retail sales penetration of 14.3%, indicating substantial room for long-term growth. Frost and Sullivan estimates that U.S. B2B ecommerce sales has reached $1.3 trillion in 2020 and it is expected to grow at a CAGR of 10.7% from 2020 to 2025, reaching $2.2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134620</wp:posOffset>
            </wp:positionV>
            <wp:extent cx="2580005" cy="1808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8000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U.S. large parcel market is rapidly shifting online</w:t>
      </w:r>
    </w:p>
    <w:p>
      <w:pPr>
        <w:spacing w:after="0" w:line="225"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Benefiting from the proliferation of the internet and smart phones, consumers are increasingly making purchase decisions online. Today’s ecommerce platforms offer consumers a wide selection of products, shopping schedule flexibility, multiple payment options and speedy delivery services unmatched by brick-and-mortar stores. In the core large parcel categories including furniture and home appliance, COVID-19 has accelerated the trend of consumers purchasing products online, as consumers are furnishing their apartments and homes to better serve their work-at-home and play-at-home needs. We expect this trend to continue in the coming years as remote working arrangements have become increasingly common. Frost and Sullivan estimates online sales for furniture and home appliance have reached $16.2 billion and $10.0 billion in 2020, respectively, and they are expected to grow at a CAGR of 10.1% and 6.6% to $26.1 billion and $13.8 billion from 2020 to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269240</wp:posOffset>
            </wp:positionV>
            <wp:extent cx="5709285" cy="13798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928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B2B marketplaces will play an increasingly critical role in today’s digital retail economy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today’s digital retail economy, B2B ecommerce marketplaces play a critical role in leveling the playing field between small to medium-sized retailers and large ecommerce platforms. To win customers, resellers not only compete on product quality and price, but also on selection, delivery speed and customer service. Delivering on all of these criteria is especially challenging in the large parcel market given the difficulties of moving bulky items. Small to medium-sized resellers often lack the resources to invest in their own supply chains and therefore tend to struggle to compete against well-capitalized large ecommerce platforms.</w:t>
      </w:r>
    </w:p>
    <w:p>
      <w:pPr>
        <w:spacing w:after="0" w:line="188"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B2B ecommerce marketplaces offer low-cost end-to-end supply chain solutions so that resellers can focus on growing sales without needing to create their own supply chains. We believe B2B marketplaces will become an increasingly important part of the digital retail economy.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Pioneering Cross-Border B2B Ecommerce Marketplace for the Large Parcel Market</w:t>
      </w:r>
    </w:p>
    <w:p>
      <w:pPr>
        <w:spacing w:after="0" w:line="225"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We are a pioneer within the B2B marketplace where sellers and buyers trade large parcel products without borders. We are a trusted marketplace with 210 active 3P sellers and 1,689 active buyers in our marketplace for the year ended December 31, 2020, an increase of 195.8% and 283.0% over the previous year, respectively. In 2021, we had 382 active 3P sellers and 3,566 active buyers in our marketplace, representing an increase of 81.9% and 111.1%, respectively, over the same period in the previous years. In the 12 months ended March 31, 2022, we had 410 active 3P sellers and 3,782 active buyers in our marketplace, representing an increase of 73.7% and 76.9%, respectively, over the same period in the previous year. Sellers are able to leverage our supply chain capabilities to establish overseas sales channels without having to invest in their own logistics. Buyers are offered a broad variety of products at wholesale prices, along with a virtual warehousing solution and multiple fulfillment solutions including cloud courier, cloud wholesale fulfillment, white glove and drop shipping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solution to trade products with minimal inventory risk. Our compelling value proposition to both sellers and buyers in our marketplace will position us as partner of choice as online sales of large parcel products accelerate.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Compelling Value Proposition to both Sellers and Buyers Enhanced by Network Effects</w:t>
      </w:r>
    </w:p>
    <w:p>
      <w:pPr>
        <w:spacing w:after="0" w:line="225"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We are an essential solution provider to both our sellers and buyers. Our sellers consider us as an essential partner to help advertise and distribute products in overseas markets at low costs. Our buyers view our marketplace as a trading environment with minimized risks where they procure large catalogs of products at wholesale price and fulfill consumer orders using our industry-leading supply chain. In 2021, the annual retention rate for our 3P sellers and buyers averaged 86.2% and 60.2%, respectively. Annual retention rate refers to 3P sellers and buyers who have sold and purchase a product in GigaCloud Marketplace in the previous calendar year and the current calendar year. As sellers and buyers are added to the marketplace, the value of the marketplace grows. Most of the sellers in our marketplace neither have the ability nor desire to engage in direct selling to end markets, which requires the employment of a local sales network and knowledge of customer preferences. Instead of taking on the risk of choosing the type and quantity of product to produce and market, sellers in our marketplace need only fulfill orders from the network of buyers in our marketplace.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Industry-Leading Supply Chain Capabilities</w:t>
      </w:r>
    </w:p>
    <w:p>
      <w:pPr>
        <w:spacing w:after="0" w:line="225"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have built a network of strategically positioned warehouses across four countries to minimize distance to ports and key customers. We currently have over four million square feet of total warehousing space, spanning 14 distribution centers in the U.S., three in Europe and four in Japan. We also entered into long term agreements with freight providers to ensure last mile logistics. We have recently expanded our service offerings to include assembly and return services. Due to our highly integrated supply chain solutions, we are able to offer a flat rated pricing to customers that is competitive in the market. Our rapidly expanding global presence and robust logistics network have positioned us as partners for some of the largest third-party ecommerce platforms. For example, in 2020, we entered into an non-exclusive agreement with JD.com, where JD.com may utilize us for sourcing and shipping of large parcel items throughout the 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Technology System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With a team of over 150 software engineers, we have developed our system from the ground up. Our suite of solutions include sourcing management, inbound management, trade and settlement management, hybrid and complex trading management, search and recommendation management and financial reporting requirement. We control all source code of our operating system and we are not dependent on third-party providers to scale our platforms.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Intelligence Powered by AI</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leverage self-learning AI to improve our operating efficiency. Our system is capable of automating and optimizing inventory globally based on historical data, rebalancing our merchandise across warehouses to maximize first mile collection and last mile delivery efficiency. We have also developed trading pattern analytics tools that constantly analyze transaction patterns, generating insightful information to suppliers to make well-informed decision regarding markets. We also leverage our data analytics in order to provide supply chain finance solutions to select quality suppliers based on our extensive data on their performance and quality.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Experienced and Innovative Team</w:t>
      </w:r>
    </w:p>
    <w:p>
      <w:pPr>
        <w:spacing w:after="0" w:line="225"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Our management team has a combined 90 years of industry experience. As of March 31, 2022, we have 694 employees, 34 of whom have master and doctor degrees. We also have a deep bench of 164 IT personnel dedicated to building next generation tools and systems.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9" w:right="5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and Diversify Seller Base and SKUs</w:t>
      </w:r>
    </w:p>
    <w:p>
      <w:pPr>
        <w:spacing w:after="0" w:line="225" w:lineRule="exact"/>
        <w:rPr>
          <w:sz w:val="20"/>
          <w:szCs w:val="20"/>
          <w:color w:val="auto"/>
        </w:rPr>
      </w:pPr>
    </w:p>
    <w:p>
      <w:pPr>
        <w:jc w:val="both"/>
        <w:ind w:left="120" w:right="100" w:firstLine="881"/>
        <w:spacing w:after="0" w:line="286" w:lineRule="auto"/>
        <w:rPr>
          <w:sz w:val="20"/>
          <w:szCs w:val="20"/>
          <w:color w:val="auto"/>
        </w:rPr>
      </w:pPr>
      <w:r>
        <w:rPr>
          <w:rFonts w:ascii="Arial" w:cs="Arial" w:eastAsia="Arial" w:hAnsi="Arial"/>
          <w:sz w:val="17"/>
          <w:szCs w:val="17"/>
          <w:color w:val="auto"/>
        </w:rPr>
        <w:t>We are dedicated to growing and diversifying our existing seller base. For the year ended December 31, 2020 and 2021 and the 12 months ended March 31, 2022, we had 210, 382 and 410 active 3P sellers in our marketplace, respectively, with 90%, 85% and 88% of them based in mainland China. We are looking to expand our seller base into South East Asia including Vietnam, Thailand, Indonesia, and Philippines.</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We are also looking to expand our existing offerings as well as extending our catalog opportunistically into adjacent categories such as auto parts, in order to further solidify our position as the leading large parcel solution provider.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Buyer Base and Engagement</w:t>
      </w:r>
    </w:p>
    <w:p>
      <w:pPr>
        <w:spacing w:after="0" w:line="225" w:lineRule="exact"/>
        <w:rPr>
          <w:sz w:val="20"/>
          <w:szCs w:val="20"/>
          <w:color w:val="auto"/>
        </w:rPr>
      </w:pPr>
    </w:p>
    <w:p>
      <w:pPr>
        <w:ind w:left="120" w:right="360" w:firstLine="881"/>
        <w:spacing w:after="0" w:line="301" w:lineRule="auto"/>
        <w:rPr>
          <w:sz w:val="20"/>
          <w:szCs w:val="20"/>
          <w:color w:val="auto"/>
        </w:rPr>
      </w:pPr>
      <w:r>
        <w:rPr>
          <w:rFonts w:ascii="Arial" w:cs="Arial" w:eastAsia="Arial" w:hAnsi="Arial"/>
          <w:sz w:val="16"/>
          <w:szCs w:val="16"/>
          <w:color w:val="auto"/>
        </w:rPr>
        <w:t>We are focused on attracting new buyers to our marketplace. For the year ended December 31, 2020 and 2021 and the 12 months ended March 31, 2022, we had 1,689, 3,566 and 3,782 buyers, respectively, generating $190.5 million, $414.2 million and $438.1 million of GigaCloud Marketplace GMV, respectively. Our buyers are typically resellers located in the U.S., Japan and Europe. We will continue to make investments in marketing to increase our brand awareness, and improve our product offerings to drive buyer stickiness to the platform.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Product Offerings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will continue to leverage our data analytics capabilities to develop new tools and services to drive incremental revenue opportunities, such as the September 2020 launch of our supply chain financing services for select qualified sellers, supported by the massive amount of data related to each supplier’s product and performance which help us establish accurate credit profiles. As SKUs in our marketplace grows, we are also looking to roll out paid advertising tools that promote products based on search results.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Geographic Coverage</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success is based on our expansive geographic footprint in key markets. We will build out additional infrastructure in key markets in the U.S., including Braselton, Georgia, Ontario, California and Dallas, Texas. In Europe, we are looking to enter into new geographies including North Rhine-Westphalia, Germany.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Logistics Network and Value-added Services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Warehousing Network</w:t>
      </w:r>
    </w:p>
    <w:p>
      <w:pPr>
        <w:spacing w:after="0" w:line="225" w:lineRule="exact"/>
        <w:rPr>
          <w:sz w:val="20"/>
          <w:szCs w:val="20"/>
          <w:color w:val="auto"/>
        </w:rPr>
      </w:pPr>
    </w:p>
    <w:p>
      <w:pPr>
        <w:jc w:val="both"/>
        <w:ind w:left="120" w:firstLine="881"/>
        <w:spacing w:after="0" w:line="301" w:lineRule="auto"/>
        <w:rPr>
          <w:sz w:val="20"/>
          <w:szCs w:val="20"/>
          <w:color w:val="auto"/>
        </w:rPr>
      </w:pPr>
      <w:r>
        <w:rPr>
          <w:rFonts w:ascii="Arial" w:cs="Arial" w:eastAsia="Arial" w:hAnsi="Arial"/>
          <w:sz w:val="16"/>
          <w:szCs w:val="16"/>
          <w:color w:val="auto"/>
        </w:rPr>
        <w:t>We have set up our local infrastructure in the U.S. strategically such that we are close to ports and customers, shortening delivery time to the end customers. We have three key operating centers in California, Georgia and New Jersey, covering 14 warehouses and seven ports of destination in the U.S., totaling over three million square feet. Outside the U.S., we have two warehouses and two ports of destination in the U.K., one warehouse and one port of destination in Germany, and four warehouses and one port of destination in Japan, totaling over 500,000 square feet.</w:t>
      </w:r>
    </w:p>
    <w:p>
      <w:pPr>
        <w:spacing w:after="0" w:line="157"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We use AI and data analytics to determine optimal distribution of inventory among our warehouses under a unified warehouse management system and provide a virtual warehousing solution for sellers and buyers in our marketplace. Our AI-powered warehousing management system solves the many practical problems faced by sellers and buyers in connection with complex, cross-border transactions involving large parcel goods.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Transportation Network</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Upon delivery of goods from suppliers, we engage our extensive shipping network consisting of ocean transportation utilizing major providers covering 11 ports of destination with about 10,000 annual containers, and a trucking network in partnership with major trucking and freight service providers.</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provide last mile delivery of bulk merchandise (over 150 pounds) and installation services to end customers, which we self-operate. These services are available in nine metro markets in the U.S., and we plan to expand coverage to other key metro markets. We also utilize a network of delivery providers for last mile delivery throughout the U.S. and other markets. We enter into agreements with the trucking and freight service providers we partner with for terms of three to five years, during which they provide their services to us at certain tiered discounts depending on the volume we achieve, which we have the option of renegotiating if we exceed anticipated volumes.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Sourcing Network</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have 74 employees in China and Vietnam who source product from manufacturers throughout Asia. This helps accelerate the supply on our GigaCloud marketplace and attract buyers to our marketplace that lack the network and sourcing capabilities that we have. In addition, we buy inventory from these suppliers for our off-platform ecommerce. As of March 31, 2022, we sourced merchandise from more than 900 merchants for our GigaCloud 1P and off-platform ecommerce.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chart below summarizes our sourcing network described above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203190" cy="4200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0319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Order Fulfillment and Logistics Flow</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GigaCloud Marketplace enables suppliers and buyers to transact with each other, including setting their own optional and customizable margin and rebate offerings. We charge a fee for each transaction in our GigaCloud Marketplace based on the transaction value and shipping fees. We also sell 1P products directly on GigaCloud Marketplace.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1P Pricing</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For our 1P sales, our pricing team approaches pricing scientifically and algorithmically, by applying data and analytics to set our pricing. We use data on competitive behavior, historical sales, seasonality and inventory levels to appropriately price our products. We also engage in market research and branding analysis, as well as take into account our estimated costs in order to control our margins. We believe our technological skills and capabilities enable us to offer competitive prices for our products.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We provide our customers with a number of payment options including bank transfers, online payments with credit cards and debit cards issued by major banks, and payment through major third-party online payment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platforms, such as Alipay and PayPal. Our customers can also use account balances in our GigaCloud Marketplace accumulated from deposits or prior refunds to make future purchases.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1P Inventory Management</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believe we have an industry-leading average large parcel inventory turnover rate for our own inventory of 90 days for the three months ended March 31, 2022, 65 days in 2021 and 53 days for 2020. We use AI and data science to help with inventory management, including deciding when to place orders and in what quantities. Our 1P inventory in the three months ended March 31, 2022 included furniture, accounting for more than 85% of GMV, fitness equipment, accounting for approximately 5% to 10% of GMV, and various other products including luggage, pet products and others accounting for 4% to 10% of GMV.</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Warranties and Refunds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our own products procured and sold in the GigaCloud Marketplace, we provide 90-day warranties.</w:t>
      </w:r>
    </w:p>
    <w:p>
      <w:pPr>
        <w:spacing w:after="0" w:line="225"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For defective products sold in our GigaCloud Marketplace, our product managers determine refunds based on evidence provided by the buyer, such as pictures, screenshots and emails. We initially provide eligible refunds to the buyer, then recover the amount refunded from the suppliers under our purchase agreements. We do not offer exchange or return policies due to the nature of the large parcel merchandise sold in our marketplace.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Precision Software Platform and Technology Infrastructure</w:t>
      </w:r>
    </w:p>
    <w:p>
      <w:pPr>
        <w:spacing w:after="0" w:line="229"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We have an in-house team of over 150 IT personnel and have built our own AI algorithms from scratch, which gives us full control over our source code. We have developed our platform to be scalable as our business expands and interoperable with external systems through an open API.</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AI Algorithm and Data Analysis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in-house reinforcement learning algorithms are built to optimize our inventory management across our multiple warehouses around the world, analyzing historical data to determine how to manage our inventory and even where to establish our next warehouse. Our algorithm also accounts for the fragility of certain types of inventory and reduces the number of times a product is moved. Each time a product is handled, there is an increased chance of damage, which is an issue embedded in the home furnishing industry.</w:t>
      </w:r>
    </w:p>
    <w:p>
      <w:pPr>
        <w:spacing w:after="0" w:line="187"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We also create sales analytics and provide them to our sellers for a fee. The services provide meaningful value to our sellers bringing products to new markets and support a high retention rate. Additionally, we leveraged the data collected on each seller’s inventory, sales history and performance to establish a credit profile under our supply chain financing program.</w:t>
      </w:r>
    </w:p>
    <w:p>
      <w:pPr>
        <w:spacing w:after="0" w:line="184"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Pursuant to our supply chain financing program, we provide cash advances to select sellers based on the estimated value of their inventory held in our warehouses. Annual percentage rate on our cash advances approximates to 16%. While our supply chain financing program is ancillary to our core business, it represents a value-add service for individual sellers in our marketplace while currently requiring only a limited portion of our working capital to implement.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Trading Platform</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have built a cross-border ecommerce trading platform upon three layers—(i) our foundation later, which consists of basic services such as single login system access, micro-service management system and data synchronization/back services, as well as a financial management module including financial statement, accounting and settlement systems, (ii) a service layer, which includes our stock management system, warehouse management system and bulk merchandise transportation system, and (iii) our application layer which consists of a variety of customer-facing value-added features.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Our foundation layer provides the basic security features for our logistics business by segregating basic functions as individual services in order to maximize our flexibility and scalability. Our service layer drives our day-to-day operations, including key support systems such as:</w:t>
      </w:r>
    </w:p>
    <w:p>
      <w:pPr>
        <w:spacing w:after="0" w:line="151" w:lineRule="exact"/>
        <w:rPr>
          <w:sz w:val="20"/>
          <w:szCs w:val="20"/>
          <w:color w:val="auto"/>
        </w:rPr>
      </w:pPr>
    </w:p>
    <w:p>
      <w:pPr>
        <w:ind w:left="1420" w:right="40" w:hanging="319"/>
        <w:spacing w:after="0" w:line="263"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ERP Stock Management System, a system capable of gathering and processing order, procurement and delivery management data to allow for real-time, dynamic stock management as well as technical support for the business development of ecommerce companies;</w:t>
      </w:r>
    </w:p>
    <w:p>
      <w:pPr>
        <w:spacing w:after="0" w:line="210" w:lineRule="exact"/>
        <w:rPr>
          <w:rFonts w:ascii="Arial" w:cs="Arial" w:eastAsia="Arial" w:hAnsi="Arial"/>
          <w:sz w:val="18"/>
          <w:szCs w:val="18"/>
          <w:color w:val="auto"/>
        </w:rPr>
      </w:pPr>
    </w:p>
    <w:p>
      <w:pPr>
        <w:ind w:left="1420" w:right="80" w:hanging="319"/>
        <w:spacing w:after="0" w:line="342" w:lineRule="auto"/>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OWM Warehouse Management System, a warehouse management system with server-side management software and mobile scanning application, used in day-to-day inventory management operations including storage, receiving and shipping of bulky goods;</w:t>
      </w:r>
    </w:p>
    <w:p>
      <w:pPr>
        <w:spacing w:after="0" w:line="150" w:lineRule="exact"/>
        <w:rPr>
          <w:rFonts w:ascii="Arial" w:cs="Arial" w:eastAsia="Arial" w:hAnsi="Arial"/>
          <w:sz w:val="16"/>
          <w:szCs w:val="16"/>
          <w:color w:val="auto"/>
        </w:rPr>
      </w:pPr>
    </w:p>
    <w:p>
      <w:pPr>
        <w:ind w:left="1420" w:right="140" w:hanging="319"/>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WOS Warehouse Delivery System, a white glove order delivery system consolidating orders from various channels both domestically and abroad, and integrating with foreign logistics providers to provide a unified system in order to support our multiple logistics models such as drop shipping, door-to-door pickup, cloud delivery and Walmart-S2S, fulfilling the highest standards of overseas ecommerce logistics such as SFP and FBA Onsite; and</w:t>
      </w:r>
    </w:p>
    <w:p>
      <w:pPr>
        <w:spacing w:after="0" w:line="213" w:lineRule="exact"/>
        <w:rPr>
          <w:rFonts w:ascii="Arial" w:cs="Arial" w:eastAsia="Arial" w:hAnsi="Arial"/>
          <w:sz w:val="18"/>
          <w:szCs w:val="18"/>
          <w:color w:val="auto"/>
        </w:rPr>
      </w:pPr>
    </w:p>
    <w:p>
      <w:pPr>
        <w:ind w:left="1420" w:right="70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Giga Bulk Merchandise Transportation System, a system for real-time, dynamic management of inventory through order management, returns management, transfer management and fleet distribution management.</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Key features of our application layer include our B2B Inbound Supply Chain Management Module, B2B trading platform (GigaCloud Marketplace), multi-channel global order management module and a GigaCloud’s B2B Peripheral System. The goal of these customer-facing applications is to mimic the real life transactions that sellers and buyers are used to seeing. Our suite of applications cover a full range of capabilities, from sourcing management, inbound management, trade and settlement management, hybrid/complex trading management, search and recommendation management and financial reporting requirements. We offer a user-friendly platform for users to have a holistic view of their business from beginning to end. To support external service providers, we also adopt an open API to allow integration with all major software protocols.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Network Infrastructure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designed our data and network infrastructure for scalability and reliability to support the rapid growth in our user base in our marketplace. As of March 31, 2022, we have more than 180 servers hosted in five internet data centers in the U.S., mainland China, Hong Kong, Japan and Europe, which contribute significantly the scale and reliability of our services. Due to the use of cloud computing technology, the amount of bandwidth we lease is flexibly expandable to handle a surge in the number of concurrent users on GigaCloud Marketplace at peak times.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We are committed to building a leading global trade service provider, powering our B2B GigaCloud platform providing online and offline integrated cross-border transaction and delivery services for furniture and large merchandise. We employ a variety of methods to promote our services and attract potential customers, merchants and other platform participants. As of March 31, 2022, we also have a sales team consisting of 101 sales representatives in locations around the world who source product for our 1P sales as well as bring in resellers and manufacturers to our GigaCloud Marketplace.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Service and Support</w:t>
      </w:r>
    </w:p>
    <w:p>
      <w:pPr>
        <w:spacing w:after="0" w:line="229"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Our customer service team consists of 47 customer service representatives based in China and the U.S. as of March 31, 2022. Our representatives are available seven days a week by phone, email and live chat.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helping customers navigate our sites, answering their questions and completing their orders, this team helps us build trust with customers, build our brand awareness, enhance our reputation and drive sales.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 and Compliance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Monitoring</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Preserving the integrity of GigaCloud Marketplace is a primary focus of our operations. We employ a dedicated team that monitors transactions in our marketplace to check for abnormal or fraudulent activity, such as large deviations in pricing, abuse of our flat rate shipping policy and counterfeit products, as well as monitor complaints submitted in our marketplace generally. We limit the activities of sellers and buyers who have been involved in fraudulent transactions in our marketplace in the past, and for particularly egregious violations, we reserve the right to refuse service and demand the removal of a seller’s inventory where applicable. We also have dynamic password protection and real-time login activity monitoring to further authenticate sellers and buyers in our marketplace.</w:t>
      </w:r>
    </w:p>
    <w:p>
      <w:pPr>
        <w:spacing w:after="0" w:line="19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strictly enforce our anti-fraud and prevention of misuse measures. For example, we require our customers to provide identification documents such as identification card and business licenses to authenticate their identity and require them to enter passcode of the electronics to prevent fraud. We also do not show the prices of products sold in our marketplace without users registering and logging onto the system to ensure that only registered sellers and buyers transact in a fair and secure marketplace.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Quality and Safety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In addition to product liability insurance we purchase for our 1P products, we have established a unified product inspection system for products sold in our 1P business, to ensure product quality and safety</w:t>
      </w:r>
      <w:r>
        <w:rPr>
          <w:rFonts w:ascii="Arial" w:cs="Arial" w:eastAsia="Arial" w:hAnsi="Arial"/>
          <w:sz w:val="16"/>
          <w:szCs w:val="16"/>
          <w:i w:val="1"/>
          <w:iCs w:val="1"/>
          <w:color w:val="auto"/>
        </w:rPr>
        <w:t>.</w:t>
      </w:r>
      <w:r>
        <w:rPr>
          <w:rFonts w:ascii="Arial" w:cs="Arial" w:eastAsia="Arial" w:hAnsi="Arial"/>
          <w:sz w:val="16"/>
          <w:szCs w:val="16"/>
          <w:color w:val="auto"/>
        </w:rPr>
        <w:t xml:space="preserve"> Our inspection standards include packaging drop tests, box marking printing accuracy checks, product color checks, packaging and product dimensions, assembly, packaging details and packaging images. We also actively monitor the products listed on GigaCloud Marketplace to proactively identify and remove suspicious listings or potentially counterfeit products. We take a broad range of measures to prevent counterfeit products in our marketplace to protect the sellers and buyers in our marketplace, including actively identifying and taking down counterfeit products and providing complaint channels for sellers and buyers to report infringement. If allegations of counterfeit goods or fraudulent transactions are verified, we may take various actions including immediate delisting of the relevant products, arranging for the seller to reimburse the buyer and imposing restrictions on the seller’s ability to list new products or participate in promotional activities in our marketplace. We also cooperate with brands and judicial authorities in connection with investigations into violations of intellectual property.</w:t>
      </w:r>
    </w:p>
    <w:p>
      <w:pPr>
        <w:spacing w:after="0" w:line="166"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While we maintain a “zero-tolerance” policy for counterfeit goods and fraudulent transactions in our marketplace, we also protect sellers in our marketplace from false allegations and fictitious complaints, with procedures in place to verify allegations and complaints, and we allow sellers who have been accused of selling counterfeit products or engaging in fraudulent transactions up to two days to refute allegations and provide evidence of the authenticity of their products and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collect a vast amount of data that are related to our business, all with consent from owners of such information. We are committed to protecting the privacy and security of such data. We have established and implemented a strict platform-wide policy on data collection, processing and usage. We have adopted data protection policies to ensure the security of proprietary and sensitive data and employed a data security team of engineers and technicians dedicated to protecting the security of such data. To ensure data security and avoid data leakage, we require each department to assign a dedicated individual to handle data protection and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confidentiality, place restrictions on connecting internal local computers to external storage media and network sharing, control confidential information to prevent copying, transferring and third-party access without prior authorization and implement strict standards for off-site data backup and retrieval. We have a data management department to supervise our data privacy and protection policies and procedures and investigate and resolve possible threats or weaknesses. We do not share or transfer personal information to any corporation, organization or individual outside our platform without explicit consent. For more information, see “Risk Factors—Risks Related to Our Business and Industry—Our failure or the failure of third-party service providers to protect our marketplace, networks and systems against security breaches, or otherwise to protect our confidential information, could damage our reputation and substantially harm our business and operating results” and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connection with our GigaCloud Marketplace, we compete with other ecommerce platforms on which sellers and buyers trade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merchandise, particularly large parcel items. For 1P, the market for the online goods that we sell is highly competitive, fragmented and rapidly changing.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with other similar manufacturers.</w:t>
      </w:r>
    </w:p>
    <w:p>
      <w:pPr>
        <w:spacing w:after="0" w:line="21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While ecommerce has been embraced by sellers and buyers around the world, the ecommerce market for large parcel items such as furniture and fitness equipment remains underpenetrated due to the logistics challenges presented by large parcel items. ecommerce poses high capital requirements for overhead expenditures to support the business operations throughout the value chain, including the costs for establishing IT facilities, procuring products from upper-tier suppliers, renting and running warehouses, acquiring new users, as well as related logistics costs for delivery of products. Carrying out ecommerce business involves multiple technology capabilities including but not limited to cloud computing, big data analytics, and artificial intelligence to create competitive advantages in business operation.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Our intellectual property, including any trademarks, copyrights, trade dress, trade secrets and technologies, is an important part of our business. Our success depends in part on our ability to obtain and maintain intellectual property and proprietary protection for our technology, defend and enforce our intellectual property rights, preserve the confidentiality of our trade secrets, and operate without infringing, misappropriating or otherwise violating valid and enforceable intellectual property and proprietary rights of others. To protect our intellectual property and proprietary information, we rely on a combination of trademark, copyright and trade secret laws and regulations, as well as contractual restrictions. We seek to protect our technology, in part, by requiring our employees, consultants, contractors and other third parties to execute confidentiality agreements and by implementing technological measures and other methods.</w:t>
      </w:r>
    </w:p>
    <w:p>
      <w:pPr>
        <w:spacing w:after="0" w:line="177" w:lineRule="exact"/>
        <w:rPr>
          <w:sz w:val="20"/>
          <w:szCs w:val="20"/>
          <w:color w:val="auto"/>
        </w:rPr>
      </w:pPr>
    </w:p>
    <w:p>
      <w:pPr>
        <w:ind w:left="120" w:firstLine="881"/>
        <w:spacing w:after="0" w:line="220" w:lineRule="exact"/>
        <w:rPr>
          <w:sz w:val="20"/>
          <w:szCs w:val="20"/>
          <w:color w:val="auto"/>
        </w:rPr>
      </w:pPr>
      <w:r>
        <w:rPr>
          <w:rFonts w:ascii="Arial" w:cs="Arial" w:eastAsia="Arial" w:hAnsi="Arial"/>
          <w:sz w:val="16"/>
          <w:szCs w:val="16"/>
          <w:color w:val="auto"/>
        </w:rPr>
        <w:t>We pursue the registration of our trademarks, including “GIGACLOUD LOGISTICS” and “</w:t>
      </w:r>
      <w:r>
        <w:rPr>
          <w:rFonts w:ascii="SimSun" w:cs="SimSun" w:eastAsia="SimSun" w:hAnsi="SimSun"/>
          <w:sz w:val="14"/>
          <w:szCs w:val="14"/>
          <w:color w:val="auto"/>
        </w:rPr>
        <w:t>大健云仓</w:t>
      </w:r>
      <w:r>
        <w:rPr>
          <w:rFonts w:ascii="Arial" w:cs="Arial" w:eastAsia="Arial" w:hAnsi="Arial"/>
          <w:sz w:val="16"/>
          <w:szCs w:val="16"/>
          <w:color w:val="auto"/>
        </w:rPr>
        <w:t>” and certain variations thereon, copyrights and domain names in the U.S., China and certain foreign jurisdictions. As of March 31, 2022, we own 19 registered U.S. trademarks, 10 registered PRC trademarks, 24 registered foreign trademarks and 2 U.S. and foreign copyright registrations, primarily covering the software we have designed. We also rely on the protection of laws regarding unregistered copyrights for our software and certain other content we create. We will continue to evaluate the merits applying for copyright registrations in the future. We also own 3 registered domain names, including gigacloudlogistics.com, gigacloudlogistics.cn and oristand.com. For more information, see “Risk Factors—Risks Related to Our Business and Industry—We may not be able to prevent others from unauthorized use of our intellectual property, which could harm our business and competitive position.”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Our corporate headquarters is in Suzhou, China, where we currently occupy approximately 53,860 square feet of office space pursuant to a lease with one year lease term, which can be renewed prior to the termination. We also lease 21 warehouses in the U.S., Japan, the U.K. and Germany, totaling over four million square feet.</w:t>
      </w:r>
    </w:p>
    <w:p>
      <w:pPr>
        <w:spacing w:after="0" w:line="18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We believe that our facilities are sufficient to meet our current needs. We intend to add new facilities or to expand our existing facilities as we add employees and expand our operations. We believe that additional space that is suitable for our needs will be available as needed to accommodate any such expansion of our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As of March 31, 2022, we had 694 full-time equivalent employees, respectively, 34 of whom had masters or doctors degrees. None of our employees is represented by a labor union or covered by a collective bargaining agreement. We consider our relationship with our employees to be good. The following table shows a breakdown of our employees by department/function and by geographic location as of March 31, 2022:</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Department/Function</w:t>
            </w:r>
          </w:p>
        </w:tc>
        <w:tc>
          <w:tcPr>
            <w:tcW w:w="4080" w:type="dxa"/>
            <w:vAlign w:val="bottom"/>
            <w:gridSpan w:val="3"/>
          </w:tcPr>
          <w:p>
            <w:pPr>
              <w:ind w:left="3340"/>
              <w:spacing w:after="0"/>
              <w:rPr>
                <w:sz w:val="20"/>
                <w:szCs w:val="20"/>
                <w:color w:val="auto"/>
              </w:rPr>
            </w:pPr>
            <w:r>
              <w:rPr>
                <w:rFonts w:ascii="Arial" w:cs="Arial" w:eastAsia="Arial" w:hAnsi="Arial"/>
                <w:sz w:val="14"/>
                <w:szCs w:val="14"/>
                <w:b w:val="1"/>
                <w:bCs w:val="1"/>
                <w:color w:val="auto"/>
                <w:w w:val="97"/>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Information Technology</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Service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Geographic Location</w:t>
            </w:r>
          </w:p>
        </w:tc>
        <w:tc>
          <w:tcPr>
            <w:tcW w:w="4080" w:type="dxa"/>
            <w:vAlign w:val="bottom"/>
            <w:gridSpan w:val="3"/>
          </w:tcPr>
          <w:p>
            <w:pPr>
              <w:ind w:left="3340"/>
              <w:spacing w:after="0"/>
              <w:rPr>
                <w:sz w:val="20"/>
                <w:szCs w:val="20"/>
                <w:color w:val="auto"/>
              </w:rPr>
            </w:pPr>
            <w:r>
              <w:rPr>
                <w:rFonts w:ascii="Arial" w:cs="Arial" w:eastAsia="Arial" w:hAnsi="Arial"/>
                <w:sz w:val="14"/>
                <w:szCs w:val="14"/>
                <w:b w:val="1"/>
                <w:bCs w:val="1"/>
                <w:color w:val="auto"/>
                <w:w w:val="97"/>
              </w:rPr>
              <w:t>Employees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40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U.K.</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Vietnam</w:t>
            </w:r>
          </w:p>
        </w:tc>
        <w:tc>
          <w:tcPr>
            <w:tcW w:w="3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business is subject to foreign and domestic laws and regulations applicable to companies conducting business on the Internet. Jurisdictions vary as to how, or whether, existing laws governing areas such as personal privacy and data security, consumer protection or sales and other taxes, among other areas, apply to the Internet and ecommerce, and these laws are continually evolving. For example, certain applicable privacy laws and regulations require us to provide customers with our policies on sharing information with third parties, and advance notice of any changes to these policies. Related laws may govern the manner in which we collect, store, use, process, disclose or transfer sensitive information, or impose obligations on us in the event of a security breach or inadvertent disclosure of such information. International jurisdictions impose different, and sometimes more stringent, consumer and privacy protections. 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 the application of laws from jurisdictions whose laws do not currently apply to our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is likely to result in more laws and regulations that impose additional compliance burdens on ecommerce companies. For more information, see “Risk Factors—Risks Related to Our Business and Industry—Government regulation of the Internet and ecommerce in the U.S. and globally is evolving, and unfavorable changes or failure by us to comply with these regulations could substantially harm our business and results of operations.” and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maintain certain insurance policies to safeguard us against risks and unexpected events, including property damage and business interruption, as well as insurance coverage over goods in transit, employers’ insurance, product liability and commercial insurance. We believe that we maintain a range of insurance coverage in relation to our business that is customary for our industry.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From time to time we may be involved in claims that arise during the ordinary course of business. Although the results of litigation and claims cannot be predicted with certainty, we do not currently have any pending litigation to which we are a party or to which our property is subject that we believe to be material. Regardless of the outcome, litigation can be costly and time consuming, as it can divert management’s attention from important business matters and initiatives, negatively impacting our overall operations. In addition, we may also find ourselves at greater risk to outside party claims as we increase our operations in jurisdictions where the laws with respect to the potential liability of online retailers are uncertain, unfavorable, or unclear.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9" w:right="5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Our business is subject to foreign and domestic laws and regulations applicable to companies conducting business on the Internet. The following sets forth a description of certain laws, regulations and government policies relating to our industry and our operations in the PRC and Japan, and the other government regulations which we consider material.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Overview of the PRC</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in the PRC.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Foreign Investment</w:t>
      </w:r>
    </w:p>
    <w:p>
      <w:pPr>
        <w:spacing w:after="0" w:line="225"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Investment activities in the PRC by foreign investors are principally governed by the Industry Guidelines of Encouraged Foreign Investment, or the Industry Guidelines, and the Special Administrative Measures for Entrance of Foreign Investment (Negative List), or the Negative List, which were promulgated and are amended from time to time by MOFCOM and NDRC, and together with the Foreign Investment Law (as defined below) and its implementation rules and ancillary regulations. The Industry Guidelines and the Negative List lay out the basic framework for foreign investments in the PRC, classifying industries into three categories with regard to foreign investments: “encouraged,” “restricted” and “prohibited.” Industries not listed in the Industry Guidelines or the Negative List are generally deemed as falling into a fourth category “permitted” unless specifically restricted by other PRC laws. The NDRC and MOFCOM promulgated the Catalog of Industries for Encouraged Foreign Investment (2020 Version) on December 27, 2020, and the Special Management Measures (Negative List) for the Access of Foreign Investment (2021 Version), or the 2021 Negative List, on December 27, 2021, to replace the previous encouraged catalog and negative list thereunder.</w:t>
      </w:r>
    </w:p>
    <w:p>
      <w:pPr>
        <w:spacing w:after="0" w:line="166"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The Foreign Investment Law and the Implementing Regulations of the Foreign Investment Law (as defined below) provide that a system of pre-entry national treatment shall be applied for the administration of foreign investment, where “pre-entry national treatment” means that the treatment given to foreign investors and their investments at market entry stage is no less favorable than that given to domestic investors and their investments, except for those foreign-invested entities that operate in industries deemed to be either “restricted” or “prohibited” in the Negative List. While foreign investors shall refrain from investing in any of the foreign “prohibited” industries, and foreign-invested entities operating in foreign “restricted” industries shall require market entry clearance and other approvals from relevant PRC governmental authorities. As of this date hereof, none of the business operated by the our PRC Subsidiaries is subject to PRC regulations that restrict or prohibit foreign ownership in China.</w:t>
      </w:r>
    </w:p>
    <w:p>
      <w:pPr>
        <w:spacing w:after="0" w:line="166"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In order to coincide with the implementation of the Foreign Investment Law (as defined below) and the Implementing Regulations of the Foreign Investment Law (as defined below), the MOFCOM and the State Administration for Market Regulation, or the SAMR, jointly promulgated the Measures for Reporting of Information on Foreign Investment on December 30, 2019, effective from January 1, 2020, which provides that foreign investors or foreign-invested enterprises shall submit investment information by submitting initial reports, change reports, deregistration reports, and annual reports through an enterprise registration system and a national enterprise credit information publicity system. Announcement of the Ministry of Commerce [2019] No.62—Announcement on Matters Concerning the Reporting of Information on Foreign Investment promulgated by MOFCOM on December 31, 2019 and Circular of the State Administration for Market Regulation on Effective Work on Registration of Foreign-invested Enterprises for the Implementation of the Foreign Investment Law promulgated by SAMR on December 28, 2019 further refine the related rules.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Investment Law</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On March 15, 2019, the NPC promulgated the Foreign Investment Law of the PRC, or the Foreign Investment Law, which became effective on January 1, 2020 and replaced the Sino-Foreign Equity Joint Venture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Enterprise Law, the Sino-Foreign Cooperative Joint Venture Enterprise Law and the Wholly Foreign-Invested Enterprise Law. The organization form, organization institution and activities of foreign-invested enterprises shall be governed, among others, by the PRC Company Law and the PRC Partnership Enterprise Law. Foreign-invested enterprises established before the implementation of the Foreign Investment Law may maintain their original organization form and structure within five years after the implementation of the Foreign Investment Law.</w:t>
      </w:r>
    </w:p>
    <w:p>
      <w:pPr>
        <w:spacing w:after="0" w:line="171"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On December 26, 2019, the PRC State Council promulgated the Implementing Regulations of the Foreign Investment Law of the PRC, or the Implementing Regulations of the Foreign Investment Law, which became effective on January 1, 2020 and replaced the implementation rules of each of the Sino-Foreign Equity Joint Venture Enterprise Law, the Sino-Foreign Cooperative Joint Venture Enterprise Law and the Wholly Foreign-Invested Enterprise Law. The Implementing Regulations of the Foreign Investment Law strictly implements the legislative principles and purpose of the Foreign Investment Law. It emphasizes promoting and protecting the foreign investment and refines the specific measures to be implemented. On the same day, the Supreme People’s Court issued an Interpretation on the Application of the Foreign Investment law of the PRC, effective as of January 1, 2020. This interpretation applies to all contractual disputes arising from the acquisition of the relevant rights and interests by a foreign investor by way of gift, division of property, merger of enterprises, division of enterprises.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Other Business Areas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Freight Forwarding Services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Pursuant to the Measures (Provisional) on Filings by International Freight Forwarding Agencies, promulgated by the MOFCOM on August 18, 2016, international freight forwarding agencies duly registered with the SAMR or its local branches shall file records with the MOFCOM or a designated agency of the MOFCOM. However, such measures do not provide for any penalties for failure to make the relevant filings in accordance with their requirements.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Internet Information Services</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On September 25, 2000, the PRC State Council promulgated the Measures for the Administration of Internet Information Services, or the ICP Measures, as amended on January 8, 2011. Under the ICP Measures, the internet information services are categorized into commercial internet information services and non-commercial internet information services. The operators of non-commercial internet information services must file with relevant governmental authorities. Internet information service providers are required to monitor their websites. They may not post or disseminate any content that falls within prohibited categories provided by laws or administrative regulations and must stop providing any such content on their websites. As of the date hereof, the PRC Company that provides non-commercial internet information services through its official website, namely Suzhou GigaCloud, has completed the relevant filings.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M&amp;A and Overseas Listings</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On August 8, 2006, six PRC regulatory agencies, including MOFCOM, the State-Owned Assets Supervision and Administration Commission, SAT, the SAMR, the CSRC and the SAFE, jointly adopted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Our PRC legal counsel has advised us based on its understanding of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current PRC laws and regulations, that the CSRC approval under the M&amp;A Rules is not required in the context of this offering because the CSRC currently has not issued any definitive rule or interpretation concerning whether offerings such as this offering contemplated by our company are subject to the M&amp;A Rules and our wholly owned PRC Subsidiary, GigaCloud Technology (Suzhou) Co., Ltd., was established by foreign direct investment, rather than through a merger or acquisition of a domestic company as defined under the M&amp;A Rules. However, our PRC legal counsel has further advised us that there are uncertainties regarding the interpretation and application of the PRC law, and there can be no assurance that the relevant PRC government agencies, including the CSRC, would reach the same conclusion as our PRC legal counsel. If the CSRC or any other PRC regulatory body subsequently determines that we need to obtain the CSRC’s approval or any other regulatory approval for this offering or if the CSRC or any other PRC government authorities promulgates any new laws, rules, regulations or any interpretation or implementation rules before our listing that would require us to obtain CSRC or other governmental approvals for this offering, we may face adverse actions or sanctions by the CSRC or other PRC regulatory agencies for failure to seek approval for this offering. See “Risk Factors—Risks Related to Doing Business in China—The approval or other administration requirements of the China Securities Regulatory Commission, or the CSRC, or other PRC governmental authorities, may be required in connection with this offering under a PRC regulation or any new laws, rules or regulations to be enacted, and if required, we cannot assure you that we will be able to obtain such approval. The regulation also establishes more complex procedures for acquisitions conducted by foreign investors that could make it more difficult for us to grow through acquisitions.”</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On December 24, 2021, the CSRC released the Draft Overseas Listing Rules which have a comment period that expired on January 23, 2022. The Draft Overseas Listing Rules have stipulated the determination criteria for direct and indirect overseas listing, the filing arrangement for both direct and indirect overseas listing, and the punishment for the breach of the relevant filling requirements. As none of our PRC Subsidiaries is the issuer of the securities we are registering, listing and offering in this offering, our PRC Subsidiaries are not “directly” offering and listing securities on an overseas market.</w:t>
      </w:r>
    </w:p>
    <w:p>
      <w:pPr>
        <w:spacing w:after="0" w:line="188"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The Draft Overseas Listing Rules stipulate that the determination as to whether a domestic company is indirectly offering and listing securities in an overseas market shall be made on a substance-over-form basis and if an issuer meets the following conditions, its overseas offering and listing shall be determined as an “indirect overseas offering and listing by a domestic enterprise”: (i) the operating revenue, total profits, total assets or net assets of the domestic enterprise in the most recent accounting year account for more than 50% of the corresponding figure in the issuer’s audited consolidated financial statements for the same period; (ii) most of the senior managers in charge of business operation and management are Chinese citizens or have habitual residences in mainland China, the principal operation premises are located in mainland China or the operation activities are mostly conducted in mainland China. According to the Draft Overseas Listing Rules, in the case of an “indirect overseas offering and listing by a domestic enterprise,” the issuer shall fulfill the filing procedures within three working days after the issuer makes an application for initial public offering and listing in an overseas market. The required filing materials for an initial public offering and listing should include at least the followings: the record-filing report and related undertakings; the regulatory opinions, record-filing, approval and other documents issued by competent regulatory authorities of relevant industries (if applicable); the security assessment opinion issued by relevant regulatory authorities (if applicable); the PRC legal opinion; and the prospectus.</w:t>
      </w:r>
    </w:p>
    <w:p>
      <w:pPr>
        <w:spacing w:after="0" w:line="17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addition, an overseas offering and listing is prohibited under any of the following circumstances: (i) if the intended securities offering and listing is specifically prohibited by PRC laws and regulations and relevant provisions; (ii) if the intended securities offering and listing may constitute a threat to or endangers national security as reviewed and determined by competent authorities under the State Council in accordance with laws; (iii) if there are material ownership disputes over the equity, principal assets, and core technology, etc. of the issuer; (iv) if, in the past three years, the domestic enterprise, its controlling shareholders or its actual controllers have committed corruption, bribery, embezzlement, misappropriation of property, or other criminal offenses disruptive to the order of the socialist market economy, or are currently under judicial investigation for suspicion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of criminal offenses, or are under investigation for suspicion of major violations; (v) if, in the past three years, directors, supervisors, or senior executives have been subject to administrative punishments for severe violations, or are currently under judicial investigation for suspicion of criminal offenses, or are under investigation for suspicion of material violations of laws and regulations; and (vi) other circumstances as prescribed by the State Council. The Draft Overseas Listing Rules define the legal liabilities for the failure in fulfilling filing obligations, imposing a fine between RMB 1 million and RMB 10 million, and in cases of severe violations, a parallel order to suspend relevant business or halt operation for rectification, revoke relevant business permits or business license. As advised by our PRC legal counsel, based on its understanding of the Draft Overseas Listing Rules and the confirmation by us that (i) none of the operating revenue, total profits, total assets and net assets of our PRC Subsidiaries in the most recent accounting year accounted for more than 50% of the corresponding figure in our audited consolidated financial statements for the same period; and (ii) most of the senior managers in charge of business operation and management are not Chinese citizens or do not have habitual residences in mainland China (only one of the three executive officers is a PRC citizen and none of three executive officers have residence located in mainland China), the principal operation premises are not located in mainland China and the operation activities are not mostly conducted in mainland China as our PRC Subsidiaries perform cost functions and internal operational functions, our PRC Subsidiaries do not generate revenue in mainland China, and all of our warehouses were located outside of the PRC, we believe that we, including our PRC Subsidiaries and our Hong Kong Subsidiary, will not be required to make a filing with the CSRC for this offering and listing under the Draft Overseas Listing Rules, if the Draft Overseas Listing Rules have been enacted before the completion of this offering and listing as they are currently released for comments. However, as the Draft Overseas Listing Rules have not been adopted, there remains uncertainty in the final form of and the enforcement of such overseas listing rules, and there can be no assurance that the relevant PRC governmental authorities, including the CSRC, would reach the same conclusion as us or our PRC legal counsel, or that the CSRC or any other PRC governmental authorities would not promulgate new rules or new interpretation of current rules to require us to obtain CSRC or other PRC governmental approvals for this offering. Furthermore, according to CSRC Answers, new initial public offerings and refinancing by existent overseas listed Chinese companies will firstly be required to go through the filing process; other existent overseas listed companies will be allowed sufficient transition period to complete their filing procedure, which means if we complete this offering prior to the effectiveness of the Draft Overseas Listing Rules, we may still be required to complete the filing process in the future, or be subject to additional compliance requirements in the future. If the final form of the Draft Overseas Listing Rules is enacted before the completion of this offering and the CSRC requires that we complete the filing procedure, the offering will be delayed until we have completed the CSRC filing procedure, which may take several months or longer. There is also the possibility that we may not be able to complete or maintain such filing or that we inadvertently concluded that such filing was not required. If CSRC filing was required as a prerequisite for this offering while we inadvertently concluded that such filing was not required or if applicable laws and regulations or the interpretation of such were modified to require us to obtain the CSRC filing in the future, we may face regulatory actions or other sanctions from the CSRC or other PRC regulatory authorities. Furthermore, if certain PRC laws and regulations, including existing laws and regulations and those enacted or promulgated in the future (such as the Draft Overseas Listing Rules), were to become applicable to our Hong Kong Subsidiary in the future, the application of such laws and regulations may have a material adverse impact on our business operations in Hong Kong. These authorities may impose fines and penalties upon our operations in mainland China and Hong Kong, delay or restrict the repatriation of the proceeds from this offering into mainland China and Hong Kong, and any failure of us to fully comply with such new regulatory requirements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the value of our ordinary shares to significantly decline or become worthless. The CSRC or other PRC regulatory agencies may also take actions requiring us, or making it advisable for us, to terminate this offering prior to the closing. See “Risk Factors—Risks Related to Doing Business in China—The CSRC has released for public consultation the draft rules for companies based in China seeking to conduct initial public offerings in overseas markets. While such rules have not yet been adopted, the PRC government may exert more oversight and control over offerings that are conducted overseas and foreign investment in issuers based in mainland China and Hong Kong, which could significantly limit or</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completely hinder our ability to offer or continue to offer our ordinary shares to investors and could cause the value of our ordinary shares to significantly decline or become worthless.”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Privacy Protection</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In May 2020, the NPC approved the Civil Code of the PRC, which came into effect on January 1, 2021. Pursuant to the Civil Code of PRC, the personal information of a natural person shall be protected by the law. Any organization or individual that need to obtain personal information of others shall obtain such information legally and ensure the security of such information, and shall not illegally collect, use, process or transmit personal information of others, or illegally purchase, sell, provide or make public personal information of others.</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 November 7, 2016, the Standing Committee of the NPC promulgated the PRC Cybersecurity Law which came into effect on June 1, 2017 and applies to the construction, operation, maintenance and use of networks as well as the supervision and administration of cybersecurity in China.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of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PRC Cybersecurity Law may be subject to fines, suspension of their businesses, shutdown of their websites, and revocation of their business licenses.</w:t>
      </w:r>
    </w:p>
    <w:p>
      <w:pPr>
        <w:spacing w:after="0" w:line="186" w:lineRule="exact"/>
        <w:rPr>
          <w:sz w:val="20"/>
          <w:szCs w:val="20"/>
          <w:color w:val="auto"/>
        </w:rPr>
      </w:pPr>
    </w:p>
    <w:p>
      <w:pPr>
        <w:ind w:left="120" w:right="80" w:firstLine="881"/>
        <w:spacing w:after="0" w:line="267" w:lineRule="auto"/>
        <w:rPr>
          <w:sz w:val="20"/>
          <w:szCs w:val="20"/>
          <w:color w:val="auto"/>
        </w:rPr>
      </w:pPr>
      <w:r>
        <w:rPr>
          <w:rFonts w:ascii="Arial" w:cs="Arial" w:eastAsia="Arial" w:hAnsi="Arial"/>
          <w:sz w:val="17"/>
          <w:szCs w:val="17"/>
          <w:color w:val="auto"/>
        </w:rPr>
        <w:t>On April 13, 2020, the CAC and certain other PRC regulatory authorities promulgated the Measures for Cybersecurity Review (2020 Version), which became effective in June 2020. Pursuant to the Measures for Cybersecurity Review (2020 Version), operators of critical information infrastructure must pass a cybersecurity review when purchasing network products and services which do or may affect national security. On July 10, 2021, the CAC issued a revised draft of the Measures for Cybersecurity Review for public comments, which required that, in addition to “operator of critical information infrastructure,” any “data processor” carrying out data processing activities that affect or may affect national security should also be subject to cybersecurity review. On December 28, 2021, the Measures for Cybersecurity Review (2021 Version) were promulgated, which has become effective on February 15, 2022 and simultaneously replaced the Measures for Cybersecurity Review (2020 Version) in whole. The Measures for Cybersecurity Review (2021 Version) further iterated that any “network platform operators” carrying out data processing activities that affect or may affect national security should be subject to cybersecurity review and any network platform operator possessing personal information of more than one million users which seeks to list in a foreign stock exchange should also be subject to cybersecurity review. The Measures for Cybersecurity Review (2021 Version) further elaborated the factors to be considered when assessing the national security risks of the relevant activities, including, among others, (i) the risk of core data, important data or a large amount of personal information being stolen, leaked, destroyed, and illegally used or exited the country; and (ii) the risk of critical information infrastructure, core data, important data or a large amount of personal information being affected, controlled, or maliciously used by foreign governments after listing abroad. On November 14, 2021, the CAC published the Regulations on Network Data Security Protection (Draft for Comments) for public comments, which reiterated that data processors that process personal information of more than one million users listing in a foreign country should apply for a cybersecurity review. We believe we, including our PRC Subsidiaries and Hong Kong Subsidiary, are not required to file with the CAC for a cybersecurity review as of the date hereof, because (i) our GigaCloud Marketplace is operated in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Hong Kong under our Hong Kong Subsidiary with under one million users, and (ii) our GigaCloud Marketplace is a B2B ecommerce platform and any data we collected on our sellers and buyers are limited without any personal information. As of the date of this prospectus, we have not been involved in any investigations on cybersecurity or data security initiated by related governmental regulatory authorities, and we have not received any inquiry, notice, warning, or sanction in such respect. However, as the Measures for Cybersecurity Review (2021 Version) were newly adopted, and the Regulations on Network Data Security Protection (Draft for Comments) has not been adopted, there remains uncertainty in the interpretation and enforcement of relevant PRC cybersecurity laws and regulations. Thus, we cannot assure you that we would not be subject to cybersecurity review requirement, and if so, that we would be able to pass such review in relation to this offering. See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spacing w:after="0" w:line="18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On June 10, 2021, the Standing Committee of the NPC promulgated the PRC Data Security Law, which has taken effect on September 1, 2021. The Data Security Law also sets forth the data security protection obligations for entities and individuals handling personal data, including that no entity or individual may acquire such data by stealing or other illegal means, and where any law and administrative regulation contains provisions on the purpose or scope of data collection or use, data shall be collected and used for the purpose and within the scope prescribed by such law and administrative regulation. As of the date of this prospectus, we have not been investigated by relevant governmental regulatory authorities according to the PRC Data Security Law, and we have not received any inquiry or notice in such respect. However, as uncertainties remain regarding the interpretation and implementation of the PRC Data Security Law, we cannot assure you that we will comply with such law in all respects and we may be ordered to rectify or terminate any actions that are deemed illegal by regulatory authorities. We may also become subject to fines and/or other sanctions which may have material adverse effect on our business, operations and financial condition.</w:t>
      </w:r>
    </w:p>
    <w:p>
      <w:pPr>
        <w:spacing w:after="0" w:line="166"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On August 20, 2021, the Standing Committee of the NPC promulgated the Personal Information Protection Law of the PRC, which became effective on November 1, 2021. The Personal Information Protection Law is enacted to protect personal information rights and interests, regulate activities of processing of personal information, and promote a reasonable use of personal information. According to the Personal Information Protection Law, processing of personal information shall be for a specified and reasonable purpose, and shall be conducted for a purpose directly relevant to the purpose of processing and in a way that has the least impact on personal rights and interests. Collection of personal information shall be limited to the minimum scope necessary for achieving the purpose of processing and shall not be excessive. As the interpretation and implementation of the Personal Information Protection Law remains uncertain, we cannot assure you that we will be deemed to fully comply with the Personal Information Protection Law in all respects and regulatory authorities may order us to rectify or terminate our current practice of collecting and processing personal information.</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Leasing</w:t>
      </w:r>
    </w:p>
    <w:p>
      <w:pPr>
        <w:spacing w:after="0" w:line="225"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Pursuant to the Law on Administration of Urban Real Estate, which was promulgated on July 5, 1994 and most recently amended on August 26, 2019 by the Standing Committee of the NPC, when leasing property, the lessor and lessee are required to enter into a written lease agreement, containing such provisions as the leasing term, use of the property, rental and repair liabilities, and other rights and obligations of both parties. Both lessor and lessee are also required to register the lease with the real estate administration department. If the lessor and lessee fail to go through the registration procedures, both lessor and lessee may be subject to fines. As of the date hereof, we have not registered any of our lease agreements with the relevant government authorities. The competent housing authorities may order us to register the lease agreements in a prescribed period of time and impose a fine ranging from RMB1,000 to RMB10,000 for each non-registered lease if we fail to complete the registration within the prescribed timeframe.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According to the Civil Code of the PRC, the lessee may sublease the leased premises to a third party, subject to the consent of the lessor. Where the lessee subleases the property, the lease agreement between the lessee and the lessor remains valid. The lessor is entitled to terminate the lease agreement if the lessee subleases the property without the consent of the lessor. In addition, in the event of change of ownership of the leased premises, the lease agreement between the lessee and the lessor will still remain valid. The Civil Code of the PRC further provides that where the leased property has been leased and transferred for possession before the creation of the mortgage, the established leasehold relationship will not be affected by the mortgage.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Intellectual Property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PRC has adopted comprehensive legislations governing intellectual property rights, including copyrights, trademarks and domain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Copyright in the PRC, including software copyright, is principally protected under the Copyright Law of the PRC, which was promulgated by the Standing Committee of the NPC on September 7, 1990 and of which the most recent amendment has come into effect as of June 1, 2021, and related rules and regulations. Under the Copyright Law of the PRC, the term for software copyright is 50 years. In addition, the Regulations on the Protection of Rights to Information Network Communication, which was promulgated by the PRC State Council on May 18, 2006 and amended on January 30, 2013, provides specific rules on fair use, statutory license, and a safe harbor for the use of copyrights and copyright management technology, and specifies the liabilities of various entities, including copyright holders and internet service providers, for violations. The Computer Software Copyright Registration Procedures, which was promulgated by the State Copyright Bureau on February 20, 2002, applies to software copyright registration, license agreement registration and transfer agreement registration.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Registered Trademarks are protected by the PRC Trademark Law which was adopted by the Standing Committee of the NPC on August 23, 1982 and most recently amended on April 23, 2019, as well as the Implementation Regulation of the PRC Trademark Law which was adopted by the PRC State Council on August 3, 2002 and amended on April 29, 2014. The Trademark Office of the National Intellectual Property Administration under the SAMR handles trademark registrations and grants a term of ten years to registered trademarks which may be renewed for consecutive ten-year periods upon request by the trademark owner. The PRC Trademark Law has adopted a “first-to-file” principle with respect to trademark registration. Where a trademark for which a registration has been filed is identical or similar to another trademark which has already been registered or been subject to a preliminary examination and approval for use on the same kind of or similar commodities or services, the application for registration of such trademark may be rejected.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Domain Names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Domain names are protected under the Administrative Measures on the Internet Domain Names, which was promulgated by the MIIT on August 24, 2017 and became effective on November 1, 2017. MIIT is the major regulatory body responsible for the administration of the PRC internet domain names, under the supervision of which is the China Internet Network Information Center, or CNNIC. CNNIC is responsible for the daily administration of .cn domain names and Chinese domain names. CNNIC adopts the “first to file” principle with respect to the registration of domain names. On November 27, 2017, MIIT promulgated the Notice of the Ministry of Industry and Information Technology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provider is an entity, the domain name registrant must be the entity (or any of the entity’s shareholders), or the entity’s principal or senior manager.</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Foreign Exchange</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principal regulations governing foreign currency exchange in the PRC are the Foreign Exchange Administration Regulations of the PRC, or the Foreign Exchange Administration Regulations, which were promulgated by the PRC State Council on January 29, 1996 and were most recently amended on August 5, 2008. Pursuant to the Foreign Exchange Administration Regulations and other PRC rules and regulations on currency conversion, Renminbi is freely convertible into other currencies for current account items such as trade and service related receipts and payments, interest payments and dividends; as for capital account items such as direct investment, loans and portfolio investment, the prior approval of the SAFE is required to convert Renminbi into other currencies and transfer the converted currencies out of the PRC.</w:t>
      </w:r>
    </w:p>
    <w:p>
      <w:pPr>
        <w:spacing w:after="0" w:line="178"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Pursuant to the Notice of the SAFE on Further Simplifying and Improving the Foreign Exchange Administration Policies for Direct Investment, promulgated by the SAFE on February 13, 2015 and effective on June 1, 2015, two administrative approval matters, including foreign exchange registration approval under domestic direct investment and foreign exchange registration approval under overseas direct investment, shall be reviewed and processed directly by banks. The SAFE and its local bureaus shall implement indirect supervision through the foreign exchange registration with banks for direct investment.</w:t>
      </w:r>
    </w:p>
    <w:p>
      <w:pPr>
        <w:spacing w:after="0" w:line="188"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Pursuant to the Notice of the SAFE on Reforming the Administration of Foreign Exchange Settlement of Capital of Foreign-invested Enterprises, or Circular 19, promulgated on March 30, 2015 and effective on June 1, 2015, and was partially amended on December 30, 2019, and the Notice of the SAFE on Reforming and Regulating the Foreign Exchange Settlement Management Policy of Capital Account, or Circular 16, promulgated on and effective June 9, 2016, the system of voluntary foreign exchange settlement is implemented for the foreign exchange earnings of foreign exchange capital of foreign-invested enterprises. Foreign exchange capital in a foreign-invested enterprise’s capital account, for which the monetary contribution has been confirmed by the SAFE (or for which the monetary contribution has been registered for account entry), may be settled at a bank as required by the actual management needs of the enterprise. The voluntary settlement ratio of foreign-invested enterprise’s foreign exchange capital projects has been temporarily set at 100%. The SAFE may make adjustments to the said ratio at appropriate times based on the status of the international balance of payments. In addition, foreign exchange earnings under capital projects and the Renminbi funds obtained from the exchange settlements thereof shall not be used by foreign-invested enterprises for the following purposes: (1) direct or indirect payments of expenditures exceeding its business scope or those being prohibited by the laws and regulations of the PRC; (2) direct or indirect uses in securities investments or investments other than capital-protected banking products (except as otherwise expressly provided); (3) issuance of loans to non-affiliated enterprises (excluding those that are expressly permitted within their business scope); and (4) construction or purchase of real estate not for personal use (except for real estate enterprises).</w:t>
      </w:r>
    </w:p>
    <w:p>
      <w:pPr>
        <w:spacing w:after="0" w:line="184"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On January 26, 2017, the SAFE promulgated the Notice of the SAFE on Further Improving Reform of Foreign Exchange Administration and Optimizing Genuineness and Compliance Verification, which took effect on the same day. This notice sets out various measures to tighten genuineness and compliance verification of cross-border transactions and cross-border capital flow, which include without limitation requiring banks to verify board resolutions, tax filing forms, and audited financial statements before wiring foreign-invested enterprises’ foreign exchange distribution above $50,000, and strengthening genuineness and compliance verification of foreign direct investments.</w:t>
      </w:r>
    </w:p>
    <w:p>
      <w:pPr>
        <w:spacing w:after="0" w:line="176"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On October 23, 2019, the SAFE promulgated the Notice of the SAFE on Further Promoting the Convenience of Cross-border Trade and Investment, or the SAFE Circular 28. The SAFE Circular 28 provides that non-investment foreign-invested enterprises may use capital to make equity investment in the PRC in accordance with laws under the premise that the investment is not in violation of the applicable special entry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measures for foreign investment (negative list) and the projects invested are true and in compliance with relevant laws and regulations.</w:t>
      </w:r>
    </w:p>
    <w:p>
      <w:pPr>
        <w:spacing w:after="0" w:line="24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April 10, 2020, the SAFE issued the Notice of the SAFE on Optimizing Foreign Exchange Administration to Support the Development of Foreign-related Business, or the SAFE Circular 8. The SAFE Circular 8 provides that under the condition that the use of the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Dividend Distributions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principal regulations governing distribution of dividends of wholly foreign-owned enterprise, or the WFOE, include the PRC Company Law, the Foreign Investment Law and the Implementing Regulations of the Foreign Investment Law. Under these regulations, WFOEs in China may pay dividends only out of their accumulated after tax profits, if any, determined in accordance with the PRC accounting standards and regulations. In addition, WFOEs in the PRC are required to allocate at least 10% of their accumulated profits each year, if any, to fund certain reserve funds unless these reserves have reached 50% of the registered capital of the enterprises. These reserves are not distributable as cash dividends.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Offshore Investment</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SAFE promulgated Notice on Issues Relating to Foreign Exchange Administration over the Overseas Investment and Financing and Round-trip Investment by Domestic Residents via Special Purpose Vehicles, or the SAFE Circular 37, on July 4,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term of operation), capital increase or capital reduction, transfers or exchanges of shares, or mergers or divisions. SAFE Circular 37 was issued to replace the Notice on Relevant Issues Concerning Foreign Exchange Administration for PRC Residents Engaging in Financing and Roundtrip Investments via Overseas Special Purposes Vehicles, commonly known as “SAFE Circular 75” promulgated by SAFE on October 21, 2005.</w:t>
      </w:r>
    </w:p>
    <w:p>
      <w:pPr>
        <w:spacing w:after="0" w:line="16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SAFE further enacted the Notice of the SAFE on Further Simplifying and Improving the Foreign Exchange Administration Policies for Direct Investment, which allows PRC residents or entities to register with qualified banks in connection with their establishment or control of an offshore entity established for the purpose of overseas investment or financing. However, remedial registration applications made by PRC residents that previously failed to comply with the SAFE Circular 37 continue to fall under the jurisdiction of the relevant local branch of SAFE. In the event that a PRC shareholder holding interests in a special purpose vehicle fails to fulfill the required SAFE registration, the PRC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subsidiaries. We may not be informed of the identities of all the PRC residents or entities holding direct or indirect interest in our company, nor can we compel our shareholders or beneficial owners to comply with SAFE registration requirements. We cannot assure you that all shareholders or beneficial owners of ours who are PRC residents or entities have complied with, and will in the future make, obtain or update any applicable registrations or approvals required by, SAFE regulations. The failure or inability of such shareholders or beneficial owners to comply with SAFE regulations, or failure by us to amend the foreign exchange registrations of our PRC Subsidiaries, could subject us or the non-complaint shareholders or beneficial owners to fines or legal sanctions, restrict our overseas or cross-border investment activities, limit our PRC Subsidiaries’ ability to make distributions or pay dividends to us or affect our ownership structure. As a result, our business operations and our ability to distribute any future profits to you could be materially and adversely affected.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Stock Incentive Plans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According to the Notice of the SAFE on Issues Relating to the Foreign Exchange Administration for Domestic Individuals Participating in Stock Incentive Plan of Overseas Publicly Listed Company, or the Share Incentive Rules, which was issued on February 15, 2012 and other regulations, directors, supervisors, senior management and other employees participating in any share incentive plan of an overseas publicly-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the overseas publicly-listed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sales of shares underlying the options and remittance of proceeds for the participants of the share incentive plans. Failure to complete the said SAFE registrations may subject our participating directors, supervisors, senior management and other employees to fines and legal sanctions. We and our executive officers and other employees who are PRC citizens or non-PRC citizens living in the PRC for a continuous period of not less than one year and have been granted options will be subject to these regulations when our Company becomes an overseas-listed company upon the completion of this offering.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Laws and Regulations Relating to 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Income Tax</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Pursuant to the PRC Enterprise Income Tax Law promulgated on March 16, 2007, most recently amended and effective on December 29, 2018, and the Regulation on Implementation of the Enterprise Income Tax Law of the PRC, or the EIT Implementation Rules, issued on December 6, 2007 and most recently amended and effective on April 23, 2019, enterprise income tax shall be applicable at a uniform rate of 25% to all resident or non-resident enterprises, save for a few exceptions. Enterprise income tax shall be payable by a resident enterprise for income sourced within or outside the PRC. Enterprise income tax shall be payable by a non-resident enterprise, for income sourced within the PRC by its institutions or premises established in the PRC, and for income sourced outside the PRC for which the institutions or premises established in the PRC have a de facto relationship. Where the non-resident enterprise has no institutions or premises established in the PRC or has income bearing no de facto relationship with the institution or premises established, enterprise income tax shall be payable by the non-resident enterprise only for income sourced within the PRC and the enterprise income tax rate shall be 10%.</w:t>
      </w:r>
    </w:p>
    <w:p>
      <w:pPr>
        <w:spacing w:after="0" w:line="18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The Notice Regarding the Determination of Chinese-Controlled Offshore-Incorporated Enterprises as PRC Tax Resident Enterprises on the Basis of De Facto Management Bodies, or Circular 82, promulgated on April 22, 2009 and amended on January 29, 2014 and December 29, 2017, sets out the standards and procedures for determining whether the “de facto management body” of an enterprise registered outside of China and controlled by PRC enterprises or PRC enterprise groups is located within China. The Administrative Measures for Enterprise Income Tax of Chinese-Controlled Offshore-Incorporated Resident Enterprises (Trial Version), or Bulletin 45, which was promulgated on July 27, 2011, and became effective on September 1, 2011, and most recently amended and effective on June 15, 2018, further provides guidance on the implementation of Circular 82 and clarifies certain issues in the areas of resident status determination, post-determination administration and competent tax authorities’ procedures.</w:t>
      </w:r>
    </w:p>
    <w:p>
      <w:pPr>
        <w:spacing w:after="0" w:line="16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According to Circular 82, a Chinese-controlled offshore-incorporated enterprise will be regarded as a PRC tax resident by virtue of having a “de facto management body” in China and will be subject to PRC EIT on its worldwide income only if all of the following criteria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shareholders meeting minutes are located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maintained in China; and (iv) 50% or more of voting board members or senior executives habitually reside in China. According to Bulletin 45, when provided with a copy of Chinese tax resident determination certificate from a resident Chinese controlled offshore-incorporated enterprise, the payer should not withhold income tax when paying the Chinese-sourced dividends, interest, royalties, etc. to the PRC controlled offshore-incorporated enterprise.</w:t>
      </w:r>
    </w:p>
    <w:p>
      <w:pPr>
        <w:spacing w:after="0" w:line="187"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Although Circular 82 and Bulletin 45 only apply to offshore enterprises controlled by PRC enterprises or PRC enterprise groups, not those controlled by foreign enterprises or individuals, the determining criteria set forth in Circular 82 and Bulletin 45 may reflect the SAT’s general position on how the “de facto management body” test should be applied in determining the tax resident status of offshore enterprises, regardless of whether they are controlled by PRC enterprises, PRC enterprise groups or by PRC or foreign individuals. If we were to be considered a PRC resident enterprise by the PRC tax authorities for PRC tax purpose, we would be subject to PRC enterprise income tax at the rate of 25% on our global income. In such case, our cash flow may be materially reduced as a result of our global income being taxed under the Enterprise Income Tax Law. We believe that none of our entities outside of the PRC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Value-Added Tax</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Pursuant to the Provisional Regulation on Value-Added Tax of the PRC promulgated by the PRC State Council, as amended on November 5, 2008, February 6, 2016 and November 19, 2017 and effective on November 19, 2017, and the Implementation Rules for the Provisional Regulation on Value-Added Tax of the PRC promulgated by the Ministry of Finance on December 25, 1993, most recently amended on October 28, 2011 and effective on November 1, 2011, all entities and individuals in the PRC engaging in the sales of goods, provision of processing services, repairs and replacement services, sales services, intangible assets, real estate and the importation of goods are required to pay value-added tax at a rate ranging from 6% to 17%.</w:t>
      </w:r>
    </w:p>
    <w:p>
      <w:pPr>
        <w:spacing w:after="0" w:line="192"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According to the Circular of the Ministry of Finance and the State Administration of Taxation on Adjusting Value-added Tax Rates issued on April 4, 2018 and came into effect on May 1, 2018, where a taxpayer engages in a taxable sales activity for the value-added tax purpose or imports goods, the previous applicable 17% and 11% tax rates are lowered to 16% and 10% respectively.</w:t>
      </w:r>
    </w:p>
    <w:p>
      <w:pPr>
        <w:spacing w:after="0" w:line="184"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According to the Circular on Policies to Deepen Value-added Tax Reform jointly issued by the Ministry of Finance, the SAT and the General Administration of Customs on March 20, 2019 and came into effect on April 1, 2019, where a taxpayer engages in a taxable sales activity for the value-added tax purpose or imports goods, the previous applicable 16% and 10% tax rates are lowered to 13% and 9% respectively.</w:t>
      </w:r>
    </w:p>
    <w:p>
      <w:pPr>
        <w:spacing w:after="0" w:line="14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According to the Announcement of SAT on Promulgation of the Administrative Measures on Tax Exemption for Cross-border Taxable Activities for Levying Value-Added Tax in Lieu of Business Tax (Trial Implementation), which was promulgated by the SAT on May 6, 2016 and became effective on May 1, 2016, as amended on June 16, 2018 by the Announcement of the SAT on the Revision to Certain Taxation Regulatory Documents, which was promulgated by the SAT on June 15, 2018, certain cross-border taxable activities, such as offshore service outsourcing business provided to overseas entities and are entirely consumed overseas, shall be exempted from value-added tax.</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on Dividends</w:t>
      </w:r>
    </w:p>
    <w:p>
      <w:pPr>
        <w:spacing w:after="0" w:line="225" w:lineRule="exact"/>
        <w:rPr>
          <w:sz w:val="20"/>
          <w:szCs w:val="20"/>
          <w:color w:val="auto"/>
        </w:rPr>
      </w:pPr>
    </w:p>
    <w:p>
      <w:pPr>
        <w:jc w:val="both"/>
        <w:ind w:left="120" w:right="220" w:firstLine="881"/>
        <w:spacing w:after="0" w:line="279" w:lineRule="auto"/>
        <w:rPr>
          <w:sz w:val="20"/>
          <w:szCs w:val="20"/>
          <w:color w:val="auto"/>
        </w:rPr>
      </w:pPr>
      <w:r>
        <w:rPr>
          <w:rFonts w:ascii="Arial" w:cs="Arial" w:eastAsia="Arial" w:hAnsi="Arial"/>
          <w:sz w:val="17"/>
          <w:szCs w:val="17"/>
          <w:color w:val="auto"/>
        </w:rPr>
        <w:t>Pursuant to the PRC Enterprise Income Tax Law and the EIT Implementation Rules, except as otherwise provided by relevant tax treaties with the PRC government, dividends paid by foreign-invested enterprises to foreign investors which are non-resident enterprises and which have not established or operated premises in the PRC, or which have established or operated premises but where their income has no de facto relationship with such establishment or operation of premises shall be subject to a withholding tax of 10%.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Indirect Transfer of Properties</w:t>
      </w:r>
    </w:p>
    <w:p>
      <w:pPr>
        <w:spacing w:after="0" w:line="225" w:lineRule="exact"/>
        <w:rPr>
          <w:sz w:val="20"/>
          <w:szCs w:val="20"/>
          <w:color w:val="auto"/>
        </w:rPr>
      </w:pPr>
    </w:p>
    <w:p>
      <w:pPr>
        <w:ind w:left="120" w:right="60" w:firstLine="881"/>
        <w:spacing w:after="0" w:line="285" w:lineRule="auto"/>
        <w:rPr>
          <w:sz w:val="20"/>
          <w:szCs w:val="20"/>
          <w:color w:val="auto"/>
        </w:rPr>
      </w:pPr>
      <w:r>
        <w:rPr>
          <w:rFonts w:ascii="Arial" w:cs="Arial" w:eastAsia="Arial" w:hAnsi="Arial"/>
          <w:sz w:val="16"/>
          <w:szCs w:val="16"/>
          <w:color w:val="auto"/>
        </w:rPr>
        <w:t>On February 3, 2015, the SAT issued the Bulletin on Issues of Enterprise Income Tax on Indirect Transfers of Assets by Non-Tax Resident Enterprises, or SAT Bulletin 7. In December 2017, Article 13 and Paragraph 2 of Article 8 of SAT Bulletin 7 were abolished by Decision of the State Administration of Taxation on Issuing the Lists of Invalid and Abolished Tax Departmental Rules and Taxation Normative Documents effective on December 29, 2017 and the Announcement of the SAT on Issues Concerning the Withholding of Non-resident Enterprise Income Tax at Source, or the SAT Circular 37, effective on December 1, 2017, which was amended on June 15, 2018. By promulgating and implementing these notices, the PRC tax authorities have enhanced their scrutiny over the direct or indirect transfer of equity interests in a PRC resident enterprise by a non-PRC resident enterprise. Pursuant to the SAT Bulletin 7, as amended, in the event that a non-PRC resident enterprise indirectly transfers equities and other properties of a PRC resident enterprise to evade its obligation of paying enterprise income tax by implementing arrangements that are not for reasonable commercial purpose, such indirect transfer shall be re-identified and recognized as a direct transfer of equities and other properties of the PRC resident enterprise. The SAT Bulletin 7, as amended, provides clear criteria for assessment of reasonable commercial purposes and has introduced safe harbors for internal group restructurings and the purchase and sale of equity through a public securities market. SAT Bulletin 7 also brings challenges to both offshore transferor and transferee (or another person who is obligated to pay 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relevant tax authority. Using a “substance over 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enterprise income tax, and the transferee or another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6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Issues concerning the withholding of enterprise income tax of the China-sourced income, which refers to income obtained from sources within China by non-PRC resident enterprises that (a) do not have an establishment or place of business in China or (b) have an establishment or place of business in China, but the relevant income is not effectively connected with the establishment or place of business in China, shall be subject to the SAT Circular 37. China-sourced income includes income from equity investment such as dividend and bonus, income from interest, rent and royalties, income from the property transfer, and other income. Pursuant to the SAT Circular 37, non-PRC resident enterprises shall pay enterprise income tax in relation to their China-sourced income, and the entities which have the direct obligation to make certain payments to a non-PRC resident enterprise shall be the relevant tax withholders for such non-PRC resident enterprise. The tax withholders shall, within seven days of the day on which the withholding obligation occurs, which is the day when the payment is made in fact or becomes due, declare and remit the withholding tax to the competent tax authority. When declaring and remitting the withholding tax payable, the tax withholders shall complete the Withholding Statement of the PRC for Enterprise Income Tax. In the event that the tax withholder fails to withhold and remit the taxable enterprise income tax for a non-PRC resident enterprise, or is unable to perform its obligation mentioned above, the non-PRC resident enterprise shall declare and pay the enterprise income tax to the competent tax authority, and complete the Withholding Statement of the PRC for Enterprise Income Tax.</w:t>
      </w:r>
    </w:p>
    <w:p>
      <w:pPr>
        <w:spacing w:after="0" w:line="16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a transferor in such transactions, and may be subject to withholding obligations if our Company is a transferee in such transactions under SAT Bulletin 7 and SAT Circular 37. For transfer of shares in our Company by investors that are non-PRC resident enterprises, our PRC Subsidiaries may be requested to assist in the filing under SAT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Bulletin 7 and SAT Circular 37. As a result, we may be required to expend valuable resources to comply with SAT Bulletin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Laws and Regulations Relating to Labor</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The PRC Labor Law, which became effective on January 1, 1995, and was amended on August 27, 2009 and December 29, 2018, and the PRC Labor Contract Law, which became effective on January 1, 2008 and was amended on December 28, 2012, provide requirements concerning employment contracts between an employer and its employees. Pursuant to the PRC Labor Contract Law, a written labor contract is required when an employment relationship is established between an employer and an employee. An employer is obligated to sign a labor contract with an employee with an indefinite term if the employer continues to employ the employee after two consecutive fixed-term labor contracts. The PRC Labor Contract Law and its implementation rules also require compensation to be paid upon certain terminations. Other labor-related regulations and rules of the PRC stipulate the maximum number of working hours per day and per week as well as the minimum wages. An employer is required to set up occupational safety and sanitation systems, implement the national occupational safety and sanitation rules and standards, educate employees on occupational safety and sanitation, prevent accidents at work and reduce occupational hazards.</w:t>
      </w:r>
    </w:p>
    <w:p>
      <w:pPr>
        <w:spacing w:after="0" w:line="181"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On October 28, 2010, the Standing Committee of the NPC promulgated the PRC Social Insurance Law, which became effective on July 1, 2011 and was amended on December 29, 2018. In accordance with the PRC Social Insurance Law and other relevant laws and regulations, China establishes a social insurance system including basic pension insurance, basic medical insurance, work-related injury insurance, unemployment insurance and maternity insurance. An employer must pay the social insurance for its employees in accordance with the rates provided under relevant regulations and must withhold the social insurance that should be assumed by the employees. The authorities in charge of social insurance may request an employer’s compliance and impose sanctions if such employer fails to pay and withhold social insurance in a timely manner. Under the Regulations on the Administration of Housing Fund, which was promulgated on April 3, 1999, and was most recently amended on March 24, 2019, PRC companies must register with applicable housing fund management centers and establish a special housing fund account in an entrusted bank. Both PRC companies and their employees are required to contribute to the housing funds. An enterprise that fails to make housing fund contributions may be ordered to rectify the noncompliance and pay the required contributions within a stipulated deadline; otherwise, an application may be made to a local court for compulsory enforcement. The requirement to maintain employee benefit plans (including social insurance and housing fund) has not been implemented consistently by local governments in the PRC given the different levels of economic development in different locations. We may not pay social insurance and housing fund contributions in strict compliance with the relevant PRC regulations for and on behalf of our employees due to differences in local regulations and inconsistent implementation or interpretation by local authorities in the PRC and varying levels of acceptance of the housing fund system by our employees. We may be subject to fines and penalties for any such failure to make payments in accordance with the applicable PRC laws and regulations. We may be required to make up the contributions for these plans as well as to pay late fees and fines. If we are subject to penalties, late fees or fines in relation to any underpaid employee benefits, our financial condition and results of operations may be adversely affected.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Overview of Japan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regarding Privacy and Protection of Personal Information and Customer Data</w:t>
      </w:r>
    </w:p>
    <w:p>
      <w:pPr>
        <w:spacing w:after="0" w:line="22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application and interpretation of these and other similar international laws and regulations concerning data protection and personal information is often uncertain, particularly in the new and rapidly evolving industry in which we operate.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In Japan, the Act on the Protection of Personal Information, or the APPI, and its related guidelines impose various requirements on businesses, including us, that use databases containing personal information. Under the APPI, entities are required to lawfully use personal information obtained within the purpose of specified use and take appropriate measures to maintain security of such information. Entities are also restricted from providing personal information to third parties without the consent of the customers. The APPI also includes regulations relating to the handling of sensitive personal data and anonymous personal data and the transfer of personal information to foreign countries.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of Telecommunications and Portal Businesses</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Telecommunications Business Act of Japan, or the Telecommunications Business Act, generally requires that those who plan to provide telecommunications services be registered as telecommunications business operators. However, as long as the scale of the telecommunications circuit facilities to be installed for the telecommunication services and the scope of service area to be covered do not exceed certain thresholds set forth in an ordinance of the Ministry of Internal Affairs and Communications of Japan, or fall within a certain category of radio facilities, submission of a notice to the Minister of Internal Affairs and Communications of Japan, rather than registration, is required.</w:t>
      </w:r>
    </w:p>
    <w:p>
      <w:pPr>
        <w:spacing w:after="0" w:line="17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 telecommunications business operator is prohibited from acquiring, using without permission, or leaking private communications (including, but not limited to, the contents of communications, the dates and places of the communications, the names and addresses, telephone numbers and IP addresses). The Telecommunications Business Act also requires a telecommunications business operator to, among other things, provide its service in a fair manner and, in certain emergency situations such as a natural disaster, prioritize important public communications. If, among other things, the acquisition, use without permission or leakage of private communications occurs or is not appropriately prevented in connection with the operation of the telecommunications business, a telecommunications business operator does not satisfy the foregoing requirements, or its business operation is otherwise inappropriate or unreasonable, such telecommunications business operator may be subjected to administrative or criminal sanctions.</w:t>
      </w:r>
    </w:p>
    <w:p>
      <w:pPr>
        <w:spacing w:after="0" w:line="19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Provider Liability Limitation Act of Japan regulates a provider of communications services (the “specified communications services provider”) that circulates electronic information publicly through the internet, and our portal services are subject to such regulations. While this act limits the scope of liability of a specified telecommunications services provider that will be incurred when anyone’s rights are infringed upon as a result of the circulation of electronic information in connection with its communications services, it requires a specified communications services provider to disclose certain information related to those who engage in such infringement.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Consumer Protection</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order to protect the interests of consumers, the Consumer Contract Act of Japan provides, among other things, that consumers are permitted to rescind their offer or acceptance of execution of a contract with certain business operators including us, when such offer or acceptance was made due to their misunderstanding or certain unfair acts by such business operators, and that any clauses in a contract with business operators that exempt business operators from liability for damages or otherwise unfairly harm the interests of consumers are nullified, in whole or in part. In addition, the Act on Specified Commercial Transactions, which also regulates ecommerce, provides, among other things, prohibitions of exaggerated advertisements or advertisements using unsolicited emails, as well as provide for statutory cooling-off periods during which consumers may cancel certain products or services they contracted to purchase.</w:t>
      </w:r>
    </w:p>
    <w:p>
      <w:pPr>
        <w:spacing w:after="0" w:line="19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Further, the Act against Unjustifiable Premiums and Misleading Representations of Japan regulates acts by certain business operators including us which are likely to interfere with consumers’ voluntary and rational decision-making on transactions of goods and services. Under the act, such business operators are generally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prohibited from provision of money or other economic gains as a means of inducing customers. Also, misleading representations by such business operators in connection with the transaction of goods and services with consumers are also prohibited. Violation of any of the prohibitions provided in the act could result in imposition of surcharges on the relevant business.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Intellectual Property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Japan has adopted comprehensive legislations governing intellectual property rights, including copyrights and trademarks.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7"/>
          <w:szCs w:val="17"/>
          <w:color w:val="auto"/>
        </w:rPr>
        <w:t>Copyright in Japan, including computer program, is principally protected under the Copyright Act, the Act on Special Provisions for the Registration of Works of Computer Programming and related rules and regulations. Under the Copyright Act, the term for computer program is 70 years. Copyright Act provides specific rules for the use of copyrights though it does not provide rules on fair use.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w:t>
      </w:r>
    </w:p>
    <w:p>
      <w:pPr>
        <w:spacing w:after="0" w:line="225"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Registered Trademarks are protected by the Japanese Trademark Act. The Japan Patent Office handles trademark registrations and grants a term of ten years to registered trademarks which may be renewed for consecutive ten-year periods upon request by the trademark owner. The Trademark Act has adopted a “first-to-file” principle with respect to trademark registration. Where a trademark for which a registration has been filed is identical or similar to another trademark which has already been registered or been subject to a preliminary examination and approval for use on the same kind of or similar commodities or services, the application for registration of such trademark may be rejected.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Japanese Employment and Labor Law</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There are several laws and regulations in Japan which are intended to regulate labor markets and employee/employer relations. These include the Labor Standards Act of Japan, which sets forth minimum labor conditions, the Minimum Wage Act of Japan which sets forth minimum wage requirements, and the Industrial Safety and Health Act of Japan, which sets forth safety and sanitary requirements for the protection of employees. Under Japanese laws and regulations, employers are prohibited from terminating employees unless there are “objectively reasonable grounds” for termination and the termination is “appropriate in the general societal terms.”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Distribution of Surplus</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Under the Japan Companies Act, the distribution of dividends by stock company established under the Japan Companies Act takes the form of distribution of surplus. Under the Japan Companies Act, the aggregate book value of surplus distributed by stock company established under the Japan Companies Act may not exceed a distributable amount, as calculated on the effective date of such distribution. The “distributable amount” at any given time is equal to: (a) the amount of its surplus, which is determined based on the aggregate of “other capital surplus” and “other retained earnings” at the end of the previous fiscal year with various adjustments; minus (b) the aggregate of: (i) the book value of the treasury stock; (ii) the amount of consideration for any treasury stock disposed of by the company after the end of the previous fiscal year; and (iii) other amounts set forth in certain ordinances, subject to certain adjustments if extraordinary financial statements are approved as of or for a period from the beginning of the fiscal year to a specified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Pursuant to the Basic Law of the Hong Kong Special Administrative Region, or the Basic Law, which is a national law of the PRC and the constitutional document for Hong Kong, national laws of the PRC shall not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applied in Hong Kong except for those listed in Annex III of the Basic Law (which shall be confined to laws relating to defense and foreign affairs as well as other matters outside the autonomy of Hong Kong). Whilst the National People’s Congress of the PRC, or the NPC,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PRC Data Security Law, the Measures for Cybersecurity Review (2021 Version) and the Regulations on Network Data Security Protection (Draft for Comments) do not apply to our businesses in Hong Kong.</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Personal Data (Privacy) Ordinance (Cap. 486) of Hong Kong), or the PDPO</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PDPO imposes a statutory duty on data users to comply with the requirements of the six data protection principles, or the Data Protection Principles, contained in Schedule 1 to the PDPO. The PDPO provides that a data user shall not do an act, or engage in a practice, that contravenes a Data Protection Principle unless the act or practice, as the case may be, is required or permitted under the PDPO. The six Data Protection Principles are:</w:t>
      </w:r>
    </w:p>
    <w:p>
      <w:pPr>
        <w:spacing w:after="0" w:line="214" w:lineRule="exact"/>
        <w:rPr>
          <w:sz w:val="20"/>
          <w:szCs w:val="20"/>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1—purpose and manner of collection of personal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2—accuracy and duration of retention of personal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3—use of personal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4—security of personal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5—information to be generally available;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Principle 6—access to personal data.</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Non-compliance with a Data Protection Principle may lead to a complaint to the Privacy Commissioner for Personal Data, or the Privacy Commissioner. The Privacy Commissioner may serve an enforcement notice to direct the data user to remedy the contravention and/ or instigate prosecution actions. A data user who contravenes an enforcement notice commits an offense which may lead to a fine and imprisonment. The Privacy Commissioner can itself also issue notices to produce evidence in connection with, or arrest persons that contravene, certain provisions of the PDPO, including to companies located outside Hong Kong.</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The PDPO also gives data subjects certain rights,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52" w:lineRule="exact"/>
        <w:rPr>
          <w:sz w:val="20"/>
          <w:szCs w:val="20"/>
          <w:color w:val="auto"/>
        </w:rPr>
      </w:pPr>
    </w:p>
    <w:p>
      <w:pPr>
        <w:ind w:left="1420" w:hanging="319"/>
        <w:spacing w:after="0"/>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right to be informed by a data user whether the data user holds personal data of which the individual is the data subject;</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data user holds such data, to be supplied with a copy of such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 to request correction of any data they consider to be inaccurate.</w:t>
      </w:r>
    </w:p>
    <w:p>
      <w:pPr>
        <w:spacing w:after="0" w:line="225"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The PDPO criminalizes, including but not limited to, the misuse or inappropriate use of personal data in direct marketing activities, non-compliance with a data access request and the unauthorized disclosure of personal data obtained without the relevant data user’s consent. An individual who suffers damage, including injured feelings, by reason of a contravention of the PDPO in relation to his or her personal data may seek compensation from the data user concerned.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9" w:right="51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Business Registration Ordinance (Chapter 310 of the Laws of Hong Kong)</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Business Registration Ordinance requires every person carrying on any business or business at a branch in Hong Kong (other than those specifically exempted) to make an application to the Commissioner of Inland Revenue in the prescribed manner for the registration of that business or business at the branch within one month after the commencement of such business or business at the branch, as the case may be. The Commissioner of Inland Revenue must register each business or branch of a business for which a business registration application or a branch registration application is made as soon as practicable after the prescribed business registration fee and levy or branch registration fee and levy are paid and issue a business registration certificate or branch registration certificate for the relevant business or the relevant branch, as the case may be. Any person who fails to apply for business registration or branch business registration (as the case may be) shall be guilty of an offence and shall be liable to a fine of HK$5,000 and to imprisonment for one year.</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Hong Kong Laws and Regulations relating to Trademark</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Trade Marks Ordinance (Chapter 559 of the Laws of Hong Kong), or the TMO, which came into full effect in Hong Kong on April 4, 2003 provides the framework for the Hong Kong’s system of registration of trademarks and sets out the rights attached to a registered trade mark, including logo and a brand name. The TMO restricts unauthorized use of a sign, logo, word, or brand which is identical or similar to the registered trade mark for identical and/or similar goods and/or services for which the trade mark was registered, where such use is likely to cause confusion on the part of the public. The TMO provides that a person may also commit a criminal offence if that person fraudulently uses a trade mark, including selling and importing goods bearing a forged trade mark, or possessing or using equipment for the purpose of forging a trade mark.</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Hong Kong Laws and Regulations relating to Employment</w:t>
      </w:r>
    </w:p>
    <w:p>
      <w:pPr>
        <w:spacing w:after="0" w:line="225" w:lineRule="exact"/>
        <w:rPr>
          <w:sz w:val="20"/>
          <w:szCs w:val="20"/>
          <w:color w:val="auto"/>
        </w:rPr>
      </w:pPr>
    </w:p>
    <w:p>
      <w:pPr>
        <w:jc w:val="both"/>
        <w:ind w:left="120" w:right="440" w:firstLine="881"/>
        <w:spacing w:after="0" w:line="263" w:lineRule="auto"/>
        <w:rPr>
          <w:sz w:val="20"/>
          <w:szCs w:val="20"/>
          <w:color w:val="auto"/>
        </w:rPr>
      </w:pPr>
      <w:r>
        <w:rPr>
          <w:rFonts w:ascii="Arial" w:cs="Arial" w:eastAsia="Arial" w:hAnsi="Arial"/>
          <w:sz w:val="18"/>
          <w:szCs w:val="18"/>
          <w:color w:val="auto"/>
        </w:rPr>
        <w:t>Pursuant to Employment Ordinance (Chapter 57 of the Laws of Hong Kong), or the EO, which came into full effect in Hong Kong on September 27, 1968, all employees covered by the EO are entitled to basic protection under the EO including but not limited to payment of wages, restrictions on wages deductions and the granting of statutory holidays.</w:t>
      </w:r>
    </w:p>
    <w:p>
      <w:pPr>
        <w:spacing w:after="0" w:line="184"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Pursuant to Mandatory Provident Fund Schemes Ordinance (Chapter 485 of the Laws of Hong Kong), or the MPFSO, which came into full effect in Hong Kong on December 1, 2000, every employer of an employee covered by the MPFSO must take all practicable steps to ensure that the employee becomes a member of a registered Mandatory Provident Fund (MPF) scheme. An employer who fails to comply with such a requirement may face a fine and imprisonment. The MPFSO provides that an employer who is employing a relevant employee must, for each contribution period, from the employer’s own funds, contribute to the relevant MPF scheme the amount determined in accordance with the MPFSO.</w:t>
      </w:r>
    </w:p>
    <w:p>
      <w:pPr>
        <w:spacing w:after="0" w:line="161" w:lineRule="exact"/>
        <w:rPr>
          <w:sz w:val="20"/>
          <w:szCs w:val="20"/>
          <w:color w:val="auto"/>
        </w:rPr>
      </w:pPr>
    </w:p>
    <w:p>
      <w:pPr>
        <w:jc w:val="both"/>
        <w:ind w:left="120" w:right="340" w:firstLine="881"/>
        <w:spacing w:after="0" w:line="311" w:lineRule="auto"/>
        <w:rPr>
          <w:sz w:val="20"/>
          <w:szCs w:val="20"/>
          <w:color w:val="auto"/>
        </w:rPr>
      </w:pPr>
      <w:r>
        <w:rPr>
          <w:rFonts w:ascii="Arial" w:cs="Arial" w:eastAsia="Arial" w:hAnsi="Arial"/>
          <w:sz w:val="16"/>
          <w:szCs w:val="16"/>
          <w:color w:val="auto"/>
        </w:rPr>
        <w:t>Pursuant to Employees’ Compensation Ordinance (Chapter 282 of the Laws of Hong Kong), or the ECO, which came into full effect in Hong Kong on December 1, 1953, all applicable employers are required to take out insurance policies to cover their liabilities under the ECO and at common law for injuries at work in respect of all of their employees. An employer failing to do so may be liable to a fine and imprisonment.</w:t>
      </w:r>
    </w:p>
    <w:p>
      <w:pPr>
        <w:spacing w:after="0" w:line="149"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color w:val="auto"/>
        </w:rPr>
        <w:t>Pursuant to Minimum Wage Ordinance (Chapter 608 of the Laws of Hong Kong), or the MWO, which came into full effect in Hong Kong on May 1, 2011, an employee covered by the MWO is entitled to be paid wages no less than the statutory minimum wage rate during the wage period. With effect from May 1, 2019, the statutory minimum hourly wage rate is HK$37.5. Failure to comply with MWO constitutes an offence under EO.</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Government Regulations</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In addition to the regulations stated above, our business is subject to a variety of laws and regulations applicable to companies conducting business on the Internet. Jurisdictions vary as to how, or whether, existing laws governing areas such as personal privacy and data security, consumer protection or sales and other taxes,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among other areas, apply to the Internet and ecommerce, and these laws are continually evolving. For example, certain applicable privacy laws and regulations require us to provide customers with our policies on sharing information with third parties, and advance notice of any changes to these policies. Related laws may govern the manner in which we collect, store, use, process, disclose or transfer sensitive information, or impose obligations on us in the event of a security breach or inadvertent disclosure of such information. International jurisdictions impose different, and sometimes more stringent, consumer and privacy protections. In the European Union, the GDPR imposes stringent privacy, data protection and information security requirements, which include expanded requirements to disclose to data subjects how their personal data is used and increased rights for data subjects to access, control and delete their personal data. Furthermore, there are mandatory data breach notification requirements and significantly increased penalties of the greater of €20 million or 4% of global turnover for the preceding financial year. As of January 1, 2021, and the expiry of transitional arrangements agreed to between the U.K. and the European Union, data processing in the U.K. is governed by a U.K. version of the GDPR (combining the GDPR and the Data Protection Act 2018), exposing us to two parallel regimes, each of which potentially authorizes similar fines and other potentially divergent enforcement actions for certain violations. In addition to the GDPR, the European Commission has another regulation that focuses on a person’s right to conduct a private life (in contrast to the GDPR, which focuses on protection of personal data). The legislation, known as the ePrivacy Regulation was enacted in 2019 and replaced the previous ePrivacy Directive, and includes, among other things, enhanced consent requirements in order to collect and process user data in the EU. As the ePrivacy Regulation includes enhanced consent requirements in order to collect and process customer data in the EU, changes we may need to implement in order to comply with this Regulation may negatively impact our contributory network. Pursuant to applicable regulations including the GDPR, we maintain policies concerning the collection, processing, use and retention of information, including personal data. In the U.S., we are subject to Federal and state laws and regulations regarding privacy and information security. California also recently enacted legislation, the CCPA, which went into effect on January 1, 2020, which affords consumers expanded privacy protections. The CCPA also provides for civil penalties for violations, as well as a private right of action for data breaches that may increase data breach litigation. Since the enactment of CCPA, new privacy and data security laws have been proposed in more than half of the states in the U.S. and in the U.S. Congress, reflecting a trend toward more stringent privacy legislation in the U.S., which trend may accelerate following the 2020 U.S. presidential election. We expect that there will continue to be new proposed laws, regulations and industry standards concerning privacy, data protection and information security in the U.S. and other jurisdictions, and we cannot determine the impact such future laws, regulations and standards may have on our business. See also “Risk Factors—Risks Related to Our Business and Industry—We are subject to stringent and changing privacy laws, regulations and standards as well as contractual obligations related to data privacy and security. Our actual or perceived failure to comply with such obligations could harm our reputation, subject us to significant fines and liability, or otherwise adversely affect our business or prospects.”</w:t>
      </w:r>
    </w:p>
    <w:p>
      <w:pPr>
        <w:spacing w:after="0" w:line="171"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Additionally, tax regulations in jurisdictions where we do not currently collect state or local taxes may subject us to the obligation to collect and remit such taxes, or to additional taxes, or to requirements intended to assist jurisdictions with their tax collection efforts. New legislation or regulation, the application of laws from jurisdictions whose laws do not currently apply to our business, or the application of existing laws and regulations to the Internet and ecommerce generally could result in significant additional taxes on our business. Further, we could be subject to fines or other payments for any past failures to comply with these requirements. The continued growth and demand for ecommerce is likely to result in more laws and regulations that impose additional compliance burdens on ecommerce companies.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306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6"/>
                <w:szCs w:val="16"/>
                <w:color w:val="auto"/>
              </w:rPr>
            </w:pPr>
          </w:p>
        </w:tc>
        <w:tc>
          <w:tcPr>
            <w:tcW w:w="4960" w:type="dxa"/>
            <w:vAlign w:val="bottom"/>
          </w:tcPr>
          <w:p>
            <w:pPr>
              <w:ind w:left="2060"/>
              <w:spacing w:after="0"/>
              <w:rPr>
                <w:sz w:val="20"/>
                <w:szCs w:val="20"/>
                <w:color w:val="auto"/>
              </w:rPr>
            </w:pPr>
            <w:r>
              <w:rPr>
                <w:rFonts w:ascii="Arial" w:cs="Arial" w:eastAsia="Arial" w:hAnsi="Arial"/>
                <w:sz w:val="14"/>
                <w:szCs w:val="14"/>
                <w:b w:val="1"/>
                <w:bCs w:val="1"/>
                <w:color w:val="auto"/>
              </w:rPr>
              <w:t>Position/Title</w:t>
            </w: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Larry Lei Wu</w:t>
            </w:r>
          </w:p>
        </w:tc>
        <w:tc>
          <w:tcPr>
            <w:tcW w:w="30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Founder, chairman, director and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Xin Wan</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Director and chief technology officer</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Frank Lin</w:t>
            </w:r>
          </w:p>
        </w:tc>
        <w:tc>
          <w:tcPr>
            <w:tcW w:w="3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Xing Huang</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Zhiwu Chen</w:t>
            </w:r>
          </w:p>
        </w:tc>
        <w:tc>
          <w:tcPr>
            <w:tcW w:w="3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Binghe Guo</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47</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Thomas Liu</w:t>
            </w:r>
          </w:p>
        </w:tc>
        <w:tc>
          <w:tcPr>
            <w:tcW w:w="3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Kwok Hei David Lau</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37</w:t>
            </w: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187"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b w:val="1"/>
          <w:bCs w:val="1"/>
          <w:i w:val="1"/>
          <w:iCs w:val="1"/>
          <w:color w:val="auto"/>
        </w:rPr>
        <w:t xml:space="preserve">Larry Lei Wu </w:t>
      </w:r>
      <w:r>
        <w:rPr>
          <w:rFonts w:ascii="Arial" w:cs="Arial" w:eastAsia="Arial" w:hAnsi="Arial"/>
          <w:sz w:val="17"/>
          <w:szCs w:val="17"/>
          <w:color w:val="auto"/>
        </w:rPr>
        <w:t>is our founder and has served as our director, chairman and chief executive officer since our inception in 2006.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our company, among others, Mr. Wu served as the general manager of a vocational education and online education company, New Oriental Education &amp; Technology Group Inc. (NYSE: EDU and SEHK: 9901), from 2002 to 2006. Mr. Wu received his MBA degree from Yale University in 2002 and his bachelor’s degree in mechanical manufacturing from Beijing Union University in 1994.</w:t>
      </w:r>
    </w:p>
    <w:p>
      <w:pPr>
        <w:spacing w:after="0" w:line="171" w:lineRule="exact"/>
        <w:rPr>
          <w:sz w:val="20"/>
          <w:szCs w:val="20"/>
          <w:color w:val="auto"/>
        </w:rPr>
      </w:pPr>
    </w:p>
    <w:p>
      <w:pPr>
        <w:ind w:left="120" w:right="460" w:firstLine="881"/>
        <w:spacing w:after="0" w:line="257" w:lineRule="auto"/>
        <w:rPr>
          <w:sz w:val="20"/>
          <w:szCs w:val="20"/>
          <w:color w:val="auto"/>
        </w:rPr>
      </w:pPr>
      <w:r>
        <w:rPr>
          <w:rFonts w:ascii="Arial" w:cs="Arial" w:eastAsia="Arial" w:hAnsi="Arial"/>
          <w:sz w:val="18"/>
          <w:szCs w:val="18"/>
          <w:b w:val="1"/>
          <w:bCs w:val="1"/>
          <w:i w:val="1"/>
          <w:iCs w:val="1"/>
          <w:color w:val="auto"/>
        </w:rPr>
        <w:t xml:space="preserve">Xin Wan </w:t>
      </w:r>
      <w:r>
        <w:rPr>
          <w:rFonts w:ascii="Arial" w:cs="Arial" w:eastAsia="Arial" w:hAnsi="Arial"/>
          <w:sz w:val="18"/>
          <w:szCs w:val="18"/>
          <w:color w:val="auto"/>
        </w:rPr>
        <w:t>has served as our director since November 2020 and as our chief technology officer since 2014. Prior to joining us, Mr. Wan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vice president of the education business unit of Aspire Company of China Mobile from 2010 to 2014 and as channel operation center manager and director in Oriental Standard (Beijing) Talent Service Co., Ltd. from 2007 to 2010. Mr. Wan received his master’s degree in software engineering in 2007 and his bachelor’s degree in software engineering in 2004 from Tsinghua University, and his bachelor’s degree in chemical engineering and English from Dalian University of Technology in 2002.</w:t>
      </w:r>
    </w:p>
    <w:p>
      <w:pPr>
        <w:spacing w:after="0" w:line="188"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b w:val="1"/>
          <w:bCs w:val="1"/>
          <w:i w:val="1"/>
          <w:iCs w:val="1"/>
          <w:color w:val="auto"/>
        </w:rPr>
        <w:t xml:space="preserve">Frank Lin </w:t>
      </w:r>
      <w:r>
        <w:rPr>
          <w:rFonts w:ascii="Arial" w:cs="Arial" w:eastAsia="Arial" w:hAnsi="Arial"/>
          <w:sz w:val="18"/>
          <w:szCs w:val="18"/>
          <w:color w:val="auto"/>
        </w:rPr>
        <w:t>has served as our director since November 2006. Mr. Lin is a general partner of DCM, a technology venture capital firm and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principal shareholders. Prior to joining DCM in 2006, Mr. Lin was the chief operating officer of SINA Corporation (Nasdaq: SINA). He co-founded SINA’s predecessor, SinaNet, in 1995 and later helped guiding SINA through its listing on Nasdaq. Prior to founding SinaNet, Mr. Lin was a consultant at Ernst &amp; Young Management Consulting Group. Mr. Lin currently serves on the board of directors of numerous DCM portfolio companies, including Tuniu Corporation (Nasdaq: TOUR) and Vipshop Holdings Limited (NYSE: VIPS), as well as China Online Education Group (NYSE: COE) and Kuaishou Technology (HKSE: 1024). Mr. Lin received his MBA degree from Stanford University in 1993 and his bachelor’s degree in engineering from Dartmouth College in 1988.</w:t>
      </w:r>
    </w:p>
    <w:p>
      <w:pPr>
        <w:spacing w:after="0" w:line="19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b w:val="1"/>
          <w:bCs w:val="1"/>
          <w:i w:val="1"/>
          <w:iCs w:val="1"/>
          <w:color w:val="auto"/>
        </w:rPr>
        <w:t xml:space="preserve">Xing Huang </w:t>
      </w:r>
      <w:r>
        <w:rPr>
          <w:rFonts w:ascii="Arial" w:cs="Arial" w:eastAsia="Arial" w:hAnsi="Arial"/>
          <w:sz w:val="18"/>
          <w:szCs w:val="18"/>
          <w:color w:val="auto"/>
        </w:rPr>
        <w:t>has served as our director since November 2020. Mr. Huang has over 17 years of experience in logistics and warehouse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From 1996 to 2013, Mr. Huang served as warehouse manager, general manager in logistics and logistics directors in various companies. Mr. Huang received his MBA degree from Fudan University in 2008 and his bachelor’s degree in environmental chemistry from Nankai University in Tianjin in 1996.</w:t>
      </w:r>
    </w:p>
    <w:p>
      <w:pPr>
        <w:spacing w:after="0" w:line="187" w:lineRule="exact"/>
        <w:rPr>
          <w:sz w:val="20"/>
          <w:szCs w:val="20"/>
          <w:color w:val="auto"/>
        </w:rPr>
      </w:pPr>
    </w:p>
    <w:p>
      <w:pPr>
        <w:jc w:val="both"/>
        <w:ind w:left="120" w:right="160" w:firstLine="881"/>
        <w:spacing w:after="0" w:line="279" w:lineRule="auto"/>
        <w:rPr>
          <w:sz w:val="20"/>
          <w:szCs w:val="20"/>
          <w:color w:val="auto"/>
        </w:rPr>
      </w:pPr>
      <w:r>
        <w:rPr>
          <w:rFonts w:ascii="Arial" w:cs="Arial" w:eastAsia="Arial" w:hAnsi="Arial"/>
          <w:sz w:val="17"/>
          <w:szCs w:val="17"/>
          <w:b w:val="1"/>
          <w:bCs w:val="1"/>
          <w:i w:val="1"/>
          <w:iCs w:val="1"/>
          <w:color w:val="auto"/>
        </w:rPr>
        <w:t xml:space="preserve">Zhiwu Chen </w:t>
      </w:r>
      <w:r>
        <w:rPr>
          <w:rFonts w:ascii="Arial" w:cs="Arial" w:eastAsia="Arial" w:hAnsi="Arial"/>
          <w:sz w:val="17"/>
          <w:szCs w:val="17"/>
          <w:color w:val="auto"/>
        </w:rPr>
        <w:t>has served as our independent director since August 2022. He is an independent director at Noah Holdings (NYSE:NOAH)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December 2013 and an independent director at Bairong Inc. (HKEX: 6608) since March 2021. Professor Chen has been a faculty member at the University of Hong Kong since 2016 and currently serves as director of the Asia Global Institute and Victor and William Fung Professor in Economics at the University of Hong Kong. Professor Chen was formerly a professor of finance at Yale University from</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1999 to 2017. Professor Chen was on the board of directors at PetroChina Company Limited (HKEX: 857, SHSE: 601857, NYSE: PTR) from May</w:t>
      </w:r>
    </w:p>
    <w:p>
      <w:pPr>
        <w:spacing w:after="0" w:line="35"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color w:val="auto"/>
        </w:rPr>
        <w:t>2011 to June 2017, Bank of Communications (SHSE:601328) from November 2010 to August 2018, and IDG Energy Investment Ltd (HKEX: 650) from July 2015 to October 2018. Professor Chen received his PhD in financial economics from Yale University in 1990, his master’s degree in computer science from Changsha Institute of Technology in 1986 and his bachelor’s degree in computer science from Central-South University in 1983.</w:t>
      </w:r>
    </w:p>
    <w:p>
      <w:pPr>
        <w:spacing w:after="0" w:line="15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i w:val="1"/>
          <w:iCs w:val="1"/>
          <w:color w:val="auto"/>
        </w:rPr>
        <w:t xml:space="preserve">Binghe Guo </w:t>
      </w:r>
      <w:r>
        <w:rPr>
          <w:rFonts w:ascii="Arial" w:cs="Arial" w:eastAsia="Arial" w:hAnsi="Arial"/>
          <w:sz w:val="17"/>
          <w:szCs w:val="17"/>
          <w:color w:val="auto"/>
        </w:rPr>
        <w:t>has served as our independent director since August 2022. Mr. Guo served as our director from April 2017 to February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Guo is currently the vice chairman, a member of strategy and investment committee and the authorized representative of Red Star Macalline Group Corporation Ltd. (HKSE: 1528 and SSE: 601828), parent of one of our principal shareholders, and serves on its board of directors. In Red Star Macalline Group Corporation Ltd., Mr. Guo is primarily responsible for its capital market, legal compliance, corporate governance, internal control, investor relations and information disclosure, in addition to the fund management and intellectual properties investment. Prior to joining Red Star Macalline Group Corporation Ltd. in 2007, Mr. Guo worked in Skyone Securities Co., Ltd. from March 2004 to October 2005 and Shenyin &amp; Wanguo Securities Co., Ltd. from July 2001 to March 2004. Mr. Guo received his master’s degree in economics from Fudan University in 2001 and his executive MBA degree from Cheung Kong Graduate School of Business in 2013.</w:t>
      </w:r>
    </w:p>
    <w:p>
      <w:pPr>
        <w:spacing w:after="0" w:line="178"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b w:val="1"/>
          <w:bCs w:val="1"/>
          <w:i w:val="1"/>
          <w:iCs w:val="1"/>
          <w:color w:val="auto"/>
        </w:rPr>
        <w:t xml:space="preserve">Thomas Liu </w:t>
      </w:r>
      <w:r>
        <w:rPr>
          <w:rFonts w:ascii="Arial" w:cs="Arial" w:eastAsia="Arial" w:hAnsi="Arial"/>
          <w:sz w:val="16"/>
          <w:szCs w:val="16"/>
          <w:color w:val="auto"/>
        </w:rPr>
        <w:t>has served as our independent director since August 2022. Since August 2020, Mr. Liu has served as president of Prologis,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Greater China Region, with full responsibilities of operations, business development, capital deployment, venture capital investment, and mergers and acquisitions. From 2014 to 2020, Mr. Liu was the head of Wanda Capital, overseeing capital deployment, strategic acquisition, fund raising and risk management for Dalian Wanda Group, a cross-industry multinational conglomerate. Prior to Wanda Capital, Mr. Liu took leadership roles at Honeywell Greater China, Lear Corporation, China and Johnson Controls in the U.S. Mr. Liu received his executive MBA degree, with a focus in finance and investment, from Cheung Kong Graduate School of Business in China in 2013, his master of science degree in systems design engineering from University of Waterloo in 1992 and his bachelor of science degree in manufacturing systems engineering from Kettering University in 1989.</w:t>
      </w:r>
    </w:p>
    <w:p>
      <w:pPr>
        <w:spacing w:after="0" w:line="16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b w:val="1"/>
          <w:bCs w:val="1"/>
          <w:i w:val="1"/>
          <w:iCs w:val="1"/>
          <w:color w:val="auto"/>
        </w:rPr>
        <w:t xml:space="preserve">Kwok Hei David Lau </w:t>
      </w:r>
      <w:r>
        <w:rPr>
          <w:rFonts w:ascii="Arial" w:cs="Arial" w:eastAsia="Arial" w:hAnsi="Arial"/>
          <w:sz w:val="18"/>
          <w:szCs w:val="18"/>
          <w:color w:val="auto"/>
        </w:rPr>
        <w:t>has served as our chief financial officer since May 2022. Mr. Lau has been an investment banker for more than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with experience in M&amp;A and IPO transactions in U.S. and China. Prior to joining us, Mr. Lau served as the director of Wells Fargo Securities Asia Limited from August 2013 to May 2022. Mr. Lau received his bachelor degree in commerce from University of Toronto in 2008 and his master degree in economics in 2010 from The University of Hong Kong. Mr. Lau acquired a certified financial risk manager issued by the Global Association of Risk Professionals in the U.S. in 2009.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Our board of directors consists of seven directors. A director is not required to hold any shares in our company to qualify to serve as a director. A director may vote with respect to any contract, proposed contract, or arrangement in which he or she is interested in provided that (i) such director, if his or her interest in such contract or arrangement is material, has declared the nature of his interest at the earliest meeting of the board at which it is practicable for him to do so, either specifically or by way of a general notice and (ii) if such contract or arrangement is a transaction with a related party, such transaction has been approved by the audit committee. If he or she does so, his or her vote shall be counted and he or she may be counted in the quorum at any meeting of the directors at which any such contract or proposed contract or arrangement is considered. A director may exercise all the powers of the company to borrow money, mortgage its business, property and uncalled capital, and issue debentures or other securities whenever money is borrowed or as security for any obligation of the company or of any third party. None of our directors has a service contract with us or any of our subsidiaries that provides for benefits upon termination of service.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audit committee consists of Zhiwu Chen, Binghe Guo and Thomas Liu. Zhiwu Chen is the chairman of our audit committee. We have determined that Zhiwu Chen, Binghe Guo and Thomas Liu satisfy the “independence” requirements of the Rule 5605(c)(2) of the Nasdaq Stock Market Listing Rules and meets the independence standards under Rule 10A-3 under the Exchange Act. Our audit committee consists solely of independent directors that satisfy the Nasdaq and SEC requirements within one year of the completion of this offering. Our board of directors has also determined that Zhiwu Chen qualifies as an “audit committee financial expert” within the meaning of the SEC rules and possesses financial sophistication within the meaning of the Nasdaq Stock Market Listing Rules.</w:t>
      </w:r>
    </w:p>
    <w:p>
      <w:pPr>
        <w:spacing w:after="0" w:line="192"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The audit committee oversees our accounting and financial reporting processes and the audits of our financial statements. The audit committee is responsible for, among other things:</w:t>
      </w:r>
    </w:p>
    <w:p>
      <w:pPr>
        <w:spacing w:after="0" w:line="197" w:lineRule="exact"/>
        <w:rPr>
          <w:sz w:val="20"/>
          <w:szCs w:val="20"/>
          <w:color w:val="auto"/>
        </w:rPr>
      </w:pPr>
    </w:p>
    <w:p>
      <w:pPr>
        <w:ind w:left="1420" w:right="26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our independent registered public accounting firm and pre-approving all auditing and non-auditing services performed by our independent registered public accounting firm;</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and approving all proposed related-party transactions, as defined in Item 404 of Regulation S-K under the Securities Act;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with management and our independent registered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our independent registered public accounting firms;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performing such other matters that are specifically delegated to our audit committee by our board of directors from time to time.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Our compensation committee consists of Binghe Guo, Zhiwu Chen and Thomas Liu. Binghe Guo is the chairman of our compensation committee. We have determined that Binghe Guo, Zhiwu Chen and Thomas Liu satisfy the “independence” requirements of Rule 5605(a)(2) of the Nasdaq Stock Market Listing Rules.</w:t>
      </w:r>
    </w:p>
    <w:p>
      <w:pPr>
        <w:spacing w:after="0" w:line="184"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compensation committee is responsible for, among other things:</w:t>
      </w:r>
    </w:p>
    <w:p>
      <w:pPr>
        <w:spacing w:after="0" w:line="252" w:lineRule="exact"/>
        <w:rPr>
          <w:sz w:val="20"/>
          <w:szCs w:val="20"/>
          <w:color w:val="auto"/>
        </w:rPr>
      </w:pPr>
    </w:p>
    <w:p>
      <w:pPr>
        <w:ind w:left="1420" w:right="18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recommending to the board for determination with respect to the compensation of our non-employee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the compensation of our directors;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similar arrangements, annual bonuses, employee pension and welfare benefit plans; and</w:t>
      </w:r>
    </w:p>
    <w:p>
      <w:pPr>
        <w:spacing w:after="0" w:line="197"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Binghe Guo, Zhiwu Chen and Thomas Liu. Binghe Guo is the chairperson of our nominating and corporate governance committee. We have determined that Binghe Guo, Zhiwu Chen and Thomas Liu satisfy the “independence” requirements of Rule 5605(a)(2) of the Nasdaq Stock Market Listing Rules.</w:t>
      </w:r>
    </w:p>
    <w:p>
      <w:pPr>
        <w:spacing w:after="0" w:line="184" w:lineRule="exact"/>
        <w:rPr>
          <w:sz w:val="20"/>
          <w:szCs w:val="20"/>
          <w:color w:val="auto"/>
        </w:rPr>
      </w:pPr>
    </w:p>
    <w:p>
      <w:pPr>
        <w:jc w:val="both"/>
        <w:ind w:left="120" w:firstLine="881"/>
        <w:spacing w:after="0" w:line="308" w:lineRule="auto"/>
        <w:rPr>
          <w:sz w:val="20"/>
          <w:szCs w:val="20"/>
          <w:color w:val="auto"/>
        </w:rPr>
      </w:pPr>
      <w:r>
        <w:rPr>
          <w:rFonts w:ascii="Arial" w:cs="Arial" w:eastAsia="Arial" w:hAnsi="Arial"/>
          <w:sz w:val="17"/>
          <w:szCs w:val="17"/>
          <w:color w:val="auto"/>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spacing w:after="0" w:line="173" w:lineRule="exact"/>
        <w:rPr>
          <w:sz w:val="20"/>
          <w:szCs w:val="20"/>
          <w:color w:val="auto"/>
        </w:rPr>
      </w:pPr>
    </w:p>
    <w:p>
      <w:pPr>
        <w:ind w:left="1420" w:hanging="319"/>
        <w:spacing w:after="0"/>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identifying and recommending nominees for election or re-election to our board of directors, or for appointment to fill any vacancy;</w:t>
      </w:r>
    </w:p>
    <w:p>
      <w:pPr>
        <w:spacing w:after="0" w:line="275"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annually with our board of directors its composition in light of the characteristics of independence, age, skills, experience and availability of service to us;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and recommending to our board the directors to serve as members of committees;</w:t>
      </w:r>
    </w:p>
    <w:p>
      <w:pPr>
        <w:spacing w:after="0" w:line="252"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advising the board periodically with respect to developments in the law and practice of corporate governance as well as our compliance with applicable laws and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making recommendations to our board of directors on corporate governance matters and on any corrective action to be taken; and</w:t>
      </w:r>
    </w:p>
    <w:p>
      <w:pPr>
        <w:spacing w:after="0" w:line="275" w:lineRule="exact"/>
        <w:rPr>
          <w:rFonts w:ascii="Arial" w:cs="Arial" w:eastAsia="Arial" w:hAnsi="Arial"/>
          <w:sz w:val="16"/>
          <w:szCs w:val="16"/>
          <w:color w:val="auto"/>
        </w:rPr>
      </w:pPr>
    </w:p>
    <w:p>
      <w:pPr>
        <w:ind w:left="1420" w:right="44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compliance.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color w:val="auto"/>
        </w:rPr>
        <w:t>Under Cayman Islands law, our directors owe to us fiduciary duties, including a duty of loyalty, a duty to act honestly and a duty to act in what they consider in good faith to be in our best interests. Our directors also have a duty to act with skill and care. It was previously considered that a director need not exhibit in the performance of her or his duties a greater degree of skill than may reasonably be expected from a person of his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knowledge and experience. However, English and Commonwealth Courts have moved towards an objective standard with regard to the required skill and care and these authorities are likely to be followed in the Cayman Islands.</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fulfilling their duty of care to us, our directors must ensure compliance with our memorandum and articles of association, as amended and restated from time to time.</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Our company may have the right to seek damages if a duty owed by our directors is breached. You should refer to “Description of Share Capital—Differences in Corporate Law” for additional information on our standard of corporate governance under Cayman Islands law.</w:t>
      </w:r>
    </w:p>
    <w:p>
      <w:pPr>
        <w:spacing w:after="0" w:line="146"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97"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convening shareholders’ annual and extraordinary general meetings and reporting its work to shareholders at such meetings;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register of members.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and regulatory risk exposure, including monitoring the Company’s compliance with cybersecurity and data protection rules and regulations, approving the Company’s budget after considering various risks such as risks associated with supply chain, suppliers and key service provider, if any. Our board receives periodic reporting from our chief executive officer on cybersecurity and any other business operational risks.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 director may, subject to any separate requirement for audit committee approval under applicable law, our memorandum and articles of association, as amended and restated from time to time, or the Nasdaq Stock Market Listing Rules Company Manual,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Each of our directors is not subject to a term of office and hold office until such time as he or she resigns or is removed from office by ordinary resolution of our shareholders, subject further to the provisions in our seventh amended and restated memorandum and articles of association. Our directors may be elected by our board of directors, or by an ordinary resolution of our shareholders, subject further to the provisions in our seventh amended and restated memorandum and articles of association.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 director will be removed from office automatically if, among other things, the director (i) becomes bankrupt or makes any arrangement or composition with his or her creditors; (ii) dies or is found by our company to be of unsound mind; or (iii) resigns his or her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 as amended and restated from time to time.</w:t>
      </w:r>
    </w:p>
    <w:p>
      <w:pPr>
        <w:spacing w:after="0" w:line="18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Pursuant to our seventh amended and restated memorandum and articles of association, which will become effective and replace the current sixth amended and restated memorandum and articles of association in their entirety immediately prior to the completion of this offering, our officers will be appointed or removed by and at the discretion of our board of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We have entered into employment agreements with our executive officers. Each of our executive officers is employed for a continuous term unless either we or the executive officer gives prior notice to terminate such employment, or for a specified time period, or for a specified time period which will be renewed automatically unless a notice of non-renewal is given. We may terminate an executive officer’s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a 30-day advance written notice. In such case of termination by us, we will provide severance payments to the executive officer as expressly required by applicable law of the jurisdiction where the executive officer is based. An executive officer may terminate his or her employment at any time with a 60-day prior written notice.</w:t>
      </w:r>
    </w:p>
    <w:p>
      <w:pPr>
        <w:spacing w:after="0" w:line="178"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Each executive officer has agreed to hold, both during and after the employment agreement expires or is earlier terminated, in strict confidence and not to use, except for our benefit, any confidential information of our company or affiliates or of our customers, suppliers and business partners. The executive officers have also agreed to disclose in confidence to us all inventions, designs, copyrights, trade secrets and any other intellectual property which they conceive, develop or reduce to practice during the executive officer’s employment with us, to assign all right, title and interest in such intellectual property to us, and to assist us in obtaining and enforcing patent, copyright and other legal rights for such inventions, designs, trade secrets and intellectual property. In addition, each of our executive officers have agreed to be bound by non-competition and non-solicitation restrictions set forth in their employment agreements with us.</w:t>
      </w:r>
    </w:p>
    <w:p>
      <w:pPr>
        <w:spacing w:after="0" w:line="177"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Corporate Governance</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We have adopted a code of ethics, which is applicable to all of our directors, executive officers and employees. We will make our code of ethics publicly available on our website.</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addition, our board of directors has adopted a set of corporate governance guidelines covering a variety of matters, including approval of related party transactions.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For the year ended December 31, 2021, we paid an aggregate of $1.2 million in cash to our executive officers and we did not pay any compensation to our non-executive directors. We have not set aside or accrued any amount to provide pension, retirement or other similar benefits to our directors and executive officers.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881"/>
        <w:spacing w:after="0" w:line="342" w:lineRule="auto"/>
        <w:rPr>
          <w:sz w:val="20"/>
          <w:szCs w:val="20"/>
          <w:color w:val="auto"/>
        </w:rPr>
      </w:pPr>
      <w:r>
        <w:rPr>
          <w:rFonts w:ascii="Arial" w:cs="Arial" w:eastAsia="Arial" w:hAnsi="Arial"/>
          <w:sz w:val="16"/>
          <w:szCs w:val="16"/>
          <w:color w:val="auto"/>
        </w:rPr>
        <w:t>Our PRC Subsidiaries are required by law to make contributions equal to certain percentages of each employee’s salary for his or her medical insurance, maternity insurance, workplace injury insurance, unemployment insurance, pension benefits and housing provident fund.</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share incentive awards granted to our executive officers, see “—Share Incentive Plans.”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2008 and 2017, our shareholders and board of directors approved and adopted the 2008 Plan and the 2017 Plan, respectively, to promote our success and shareholder value by attracting, motivating and retaining selected employees and other eligible participants through the awards. As of the date of this prospectus, the aggregated maximum aggregate number of ordinary shares which may be issued pursuant to all awards under the 2008 Plan and the 2017 Plan is 8,880,981. As of the date of this prospectus, we have granted an aggregate of 6,380,783 awards, including options to purchase 6,169,885 ordinary shares and 210,898 restricted shares, under the 2008 Plan and 2017 Plan, among which options to purchase 1,056 ordinary shares are outstanding, excluding awards that were forfeited, repurchased, cancelled, lapsed, settled or otherwise expired after the relevant grant dates.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2008 Plan</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maximum aggregate number of ordinary shares which may be issued pursuant to all awards under the 2008 Plan is 2,513,743 ordinary shares. As of the date of this prospectus, awards to purchase 2,116,598 ordinary shares under the 2008 Plan have been granted, excluding awards that were forfeited, repurchased, cancelled, lapsed, settled or otherwise expired after the relevant grant dates. As of the date of this prospectus, these awards granted under the 2008 Plan were all exercised. The 2008 Plan was terminated upon the tenth anniversary and no grants of awards under the 2008 Plan were made after the termination.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paragraphs summarize the principal terms of the 2008 Plan.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 xml:space="preserve">Type of Awards. </w:t>
      </w:r>
      <w:r>
        <w:rPr>
          <w:rFonts w:ascii="Arial" w:cs="Arial" w:eastAsia="Arial" w:hAnsi="Arial"/>
          <w:sz w:val="17"/>
          <w:szCs w:val="17"/>
          <w:color w:val="auto"/>
        </w:rPr>
        <w:t>The 2008 Plan permits the grant of option. The plan administrator is authorized to award any type of arrangement.</w:t>
      </w:r>
    </w:p>
    <w:p>
      <w:pPr>
        <w:spacing w:after="0" w:line="23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2008 Plan provides for the grant of awards to, among others, employees, officers, directors of our company or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adviser or independent contractor currently providing services to our company or an affiliates.</w:t>
      </w:r>
    </w:p>
    <w:p>
      <w:pPr>
        <w:spacing w:after="0" w:line="170"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Subject to the terms of the 2008 Plan, the 2008 Plan will be administered by our board of directors, any committee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 of our board of directors, our executive officer delegated by the board of directors.</w:t>
      </w:r>
    </w:p>
    <w:p>
      <w:pPr>
        <w:spacing w:after="0" w:line="170"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i w:val="1"/>
          <w:iCs w:val="1"/>
          <w:color w:val="auto"/>
        </w:rPr>
        <w:t xml:space="preserve">Award Agreements. </w:t>
      </w:r>
      <w:r>
        <w:rPr>
          <w:rFonts w:ascii="Arial" w:cs="Arial" w:eastAsia="Arial" w:hAnsi="Arial"/>
          <w:sz w:val="18"/>
          <w:szCs w:val="18"/>
          <w:color w:val="auto"/>
        </w:rPr>
        <w:t>Awards granted under the 2008 Plan are evidenced by an award agreement that sets forth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w:t>
      </w:r>
    </w:p>
    <w:p>
      <w:pPr>
        <w:spacing w:after="0" w:line="170" w:lineRule="exact"/>
        <w:rPr>
          <w:sz w:val="20"/>
          <w:szCs w:val="20"/>
          <w:color w:val="auto"/>
        </w:rPr>
      </w:pPr>
    </w:p>
    <w:p>
      <w:pPr>
        <w:jc w:val="both"/>
        <w:ind w:left="120" w:right="440" w:firstLine="881"/>
        <w:spacing w:after="0" w:line="263" w:lineRule="auto"/>
        <w:rPr>
          <w:sz w:val="20"/>
          <w:szCs w:val="20"/>
          <w:color w:val="auto"/>
        </w:rPr>
      </w:pPr>
      <w:r>
        <w:rPr>
          <w:rFonts w:ascii="Arial" w:cs="Arial" w:eastAsia="Arial" w:hAnsi="Arial"/>
          <w:sz w:val="18"/>
          <w:szCs w:val="18"/>
          <w:i w:val="1"/>
          <w:iCs w:val="1"/>
          <w:color w:val="auto"/>
        </w:rPr>
        <w:t xml:space="preserve">Vesting Schedule and Price. </w:t>
      </w:r>
      <w:r>
        <w:rPr>
          <w:rFonts w:ascii="Arial" w:cs="Arial" w:eastAsia="Arial" w:hAnsi="Arial"/>
          <w:sz w:val="18"/>
          <w:szCs w:val="18"/>
          <w:color w:val="auto"/>
        </w:rPr>
        <w:t>In general, the plan administrator is authorized to determine the vesting schedule and the price,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relevant award agreement. The plan administrator will have sole discretion in approving and amending the terms and conditions of awards.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An award may not be exercised nor may any shares be issued thereunder unless the exercise and issuance complies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applicable laws.</w:t>
      </w:r>
    </w:p>
    <w:p>
      <w:pPr>
        <w:spacing w:after="0" w:line="170"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may not be transferred, except as provided in the 2008 Plan, such as transfers by will or by laws of descent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as provided in the relevant award agreement or otherwise determined by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 xml:space="preserve">Changes to Capitalization. </w:t>
      </w:r>
      <w:r>
        <w:rPr>
          <w:rFonts w:ascii="Arial" w:cs="Arial" w:eastAsia="Arial" w:hAnsi="Arial"/>
          <w:sz w:val="17"/>
          <w:szCs w:val="17"/>
          <w:color w:val="auto"/>
        </w:rPr>
        <w:t>In the event of share splits, share dividend or other distribution payable in capital shares, combinations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of shares, re-classification of shares, recapitalization, reverse split, similar transaction affecting the shares or specified changes in our capital structure not involving the receipt of consideration by us, the 2008 Plan provides for the proportional adjustment of the number and class of shares reserved under the 2008 Plan and the number, class and price of shares, if applicable, of all outstanding awards.</w:t>
      </w:r>
    </w:p>
    <w:p>
      <w:pPr>
        <w:spacing w:after="0" w:line="171"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i w:val="1"/>
          <w:iCs w:val="1"/>
          <w:color w:val="auto"/>
        </w:rPr>
        <w:t xml:space="preserve">Corporate Transaction or Change in Control Transactions. </w:t>
      </w:r>
      <w:r>
        <w:rPr>
          <w:rFonts w:ascii="Arial" w:cs="Arial" w:eastAsia="Arial" w:hAnsi="Arial"/>
          <w:sz w:val="17"/>
          <w:szCs w:val="17"/>
          <w:color w:val="auto"/>
        </w:rPr>
        <w:t>Except as provided otherwise in the award agreement, in the event of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as defined in the 2008 Plan, the awards may be assumed or substituted. For the portion not assumed or substituted in the corporate transaction, or in the event of change in control, such portion of the award shall automatically fully vested and immediately exercisable immediately prior to the effective date of such corporate transaction or the change of control, as the case may be. Effective upon the consummation of a corporate transaction, all outstanding awards under the 2008 Plan shall terminate, provided however that, all such awards shall not terminate to the extent they are assumed or substituted in connection with the corporate transaction. Except as provided otherwise in an award agreement and subject to the applicable laws, in the event of a corporate transaction or a change in control, the plan administrator may provide for other mechanisms, such as (i) termination and payment of any awards in cash or securities, or (ii) allowing any participant the right to exercise any outstanding awards during a specified period of time determined by the plan administrator.</w:t>
      </w:r>
    </w:p>
    <w:p>
      <w:pPr>
        <w:spacing w:after="0" w:line="181" w:lineRule="exact"/>
        <w:rPr>
          <w:sz w:val="20"/>
          <w:szCs w:val="20"/>
          <w:color w:val="auto"/>
        </w:rPr>
      </w:pPr>
    </w:p>
    <w:p>
      <w:pPr>
        <w:ind w:left="120" w:right="80" w:firstLine="881"/>
        <w:spacing w:after="0" w:line="233" w:lineRule="auto"/>
        <w:rPr>
          <w:sz w:val="20"/>
          <w:szCs w:val="20"/>
          <w:color w:val="auto"/>
        </w:rPr>
      </w:pPr>
      <w:r>
        <w:rPr>
          <w:rFonts w:ascii="Arial" w:cs="Arial" w:eastAsia="Arial" w:hAnsi="Arial"/>
          <w:sz w:val="18"/>
          <w:szCs w:val="18"/>
          <w:i w:val="1"/>
          <w:iCs w:val="1"/>
          <w:color w:val="auto"/>
        </w:rPr>
        <w:t xml:space="preserve">Amendment, Suspension and Termination. </w:t>
      </w:r>
      <w:r>
        <w:rPr>
          <w:rFonts w:ascii="Arial" w:cs="Arial" w:eastAsia="Arial" w:hAnsi="Arial"/>
          <w:sz w:val="18"/>
          <w:szCs w:val="18"/>
          <w:color w:val="auto"/>
        </w:rPr>
        <w:t>The 2008 Plan has a term of ten years and will automatically terminate in upon the 10</w:t>
      </w:r>
      <w:r>
        <w:rPr>
          <w:rFonts w:ascii="Arial" w:cs="Arial" w:eastAsia="Arial" w:hAnsi="Arial"/>
          <w:sz w:val="26"/>
          <w:szCs w:val="26"/>
          <w:color w:val="auto"/>
          <w:vertAlign w:val="superscript"/>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unless terminated earlier in accordance with the 2008 Plan. Our board of directors may amend, suspend or terminate the 2008 Plan. An amendment to the 2008 Plan shall be contingent on the approval of our shareholders only to the extent required by applicable law, regulations or rules. No amendment, suspension, or termination of the 2008 Plan shall, without the consent of the participants, alter or impair rights or obligations under any grant theretofore awarded under the Plan.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Plan</w:t>
      </w:r>
    </w:p>
    <w:p>
      <w:pPr>
        <w:spacing w:after="0" w:line="225"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Our shareholders and board of directors approved and adopted the 2017 Plan in March 2017. The maximum aggregate number of ordinary shares which may be issued or otherwise distributed pursuant to all awards under the 2017 Plan is 6,367,238 ordinary shares; and subject to an annual increase on the first day of each fiscal year beginning January 1, 2023 and ending on and including January 1, 2027, by an amount equal to the lesser of</w:t>
      </w:r>
    </w:p>
    <w:p>
      <w:pPr>
        <w:spacing w:after="0" w:line="2" w:lineRule="exact"/>
        <w:rPr>
          <w:sz w:val="20"/>
          <w:szCs w:val="20"/>
          <w:color w:val="auto"/>
        </w:rPr>
      </w:pPr>
    </w:p>
    <w:p>
      <w:pPr>
        <w:ind w:left="120" w:right="220" w:hanging="4"/>
        <w:spacing w:after="0" w:line="253"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5% of the aggregate number of our shares outstanding on the final day of the immediately preceding fiscal year and (ii) such smaller number of shares as is determined by our board of directors. As of the date of this prospectus, awards to purchase 4,264,185 ordinary shares under the 2017 Plan have been granted, among which options to purchase 1,056 ordinary shares are outstanding, excluding awards that were forfeited, repurchased, cancelled, lapsed, settled or otherwise expired after the relevant grant dates.</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paragraphs summarize the principal terms of the 2017 Plan.</w:t>
      </w:r>
    </w:p>
    <w:p>
      <w:pPr>
        <w:spacing w:after="0" w:line="225"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i w:val="1"/>
          <w:iCs w:val="1"/>
          <w:color w:val="auto"/>
        </w:rPr>
        <w:t xml:space="preserve">Type of Awards. </w:t>
      </w:r>
      <w:r>
        <w:rPr>
          <w:rFonts w:ascii="Arial" w:cs="Arial" w:eastAsia="Arial" w:hAnsi="Arial"/>
          <w:sz w:val="17"/>
          <w:szCs w:val="17"/>
          <w:color w:val="auto"/>
        </w:rPr>
        <w:t>The 2017 Plan permits the grant of option, share appreciation right, dividend equivalent right, restricted share,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 unit or other awards under the 2017 Plan. The plan administrator is authorized to award any type of arrangement.</w:t>
      </w:r>
    </w:p>
    <w:p>
      <w:pPr>
        <w:spacing w:after="0" w:line="146"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2017 Plan provides for the grant of awards to, among others, employees, directors or consultants of our company, or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entities, such as our subsidiaries or consolidated VIEs.</w:t>
      </w:r>
    </w:p>
    <w:p>
      <w:pPr>
        <w:spacing w:after="0" w:line="170"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Subject to the terms of the 2017 Plan, the 2017 Plan will be administered by our board of directors, the committee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board of directors, including the compensation committee, or any delegate of our board of directors or the compensation committee.</w:t>
      </w:r>
    </w:p>
    <w:p>
      <w:pPr>
        <w:spacing w:after="0" w:line="124"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i w:val="1"/>
          <w:iCs w:val="1"/>
          <w:color w:val="auto"/>
        </w:rPr>
        <w:t xml:space="preserve">Award Agreements. </w:t>
      </w:r>
      <w:r>
        <w:rPr>
          <w:rFonts w:ascii="Arial" w:cs="Arial" w:eastAsia="Arial" w:hAnsi="Arial"/>
          <w:sz w:val="18"/>
          <w:szCs w:val="18"/>
          <w:color w:val="auto"/>
        </w:rPr>
        <w:t>Awards granted under the 2017 Plan are evidenced by an award agreement that sets forth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 which may include, among other things, the term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award, vesting schedule, repurchase provisions, form of payment, the provisions applicable in the event that the participant’s employment or service terminates, the provisions applicable in the event of corporate transactions and changes in control and our authority to unilaterally or bilaterally amend, modify, suspend, cancel or rescind the award.</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 xml:space="preserve">Vesting Schedule and Price. </w:t>
      </w:r>
      <w:r>
        <w:rPr>
          <w:rFonts w:ascii="Arial" w:cs="Arial" w:eastAsia="Arial" w:hAnsi="Arial"/>
          <w:sz w:val="18"/>
          <w:szCs w:val="18"/>
          <w:color w:val="auto"/>
        </w:rPr>
        <w:t>In general, the plan administrator is authorized to determine and has the right to adjust the vesting schedule,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specified in the relevant award agreement. The plan administrator is authorized to determine the exercise or purchase price for an award, subject to certain conditions set forth in the 2017 Plan. The plan administrator will have sole discretion in approving and amending the terms and conditions of awards including, among others, exercise or purchase prices, the number of shares granted, vesting and exercise schedules and acceleration provisions, as applicable, which are stated in the award agreement.</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An award may not be exercised nor may any shares be issued thereunder unless the exercise and issuance complies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applicable laws.</w:t>
      </w:r>
    </w:p>
    <w:p>
      <w:pPr>
        <w:spacing w:after="0" w:line="170"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may not be transferred, except as provided in the 2017 Plan, such as transfers by will or by laws of descent 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as provided in the relevant award agreement or otherwise determined by the plan administrator.</w:t>
      </w:r>
    </w:p>
    <w:p>
      <w:pPr>
        <w:spacing w:after="0" w:line="170" w:lineRule="exact"/>
        <w:rPr>
          <w:sz w:val="20"/>
          <w:szCs w:val="20"/>
          <w:color w:val="auto"/>
        </w:rPr>
      </w:pPr>
    </w:p>
    <w:p>
      <w:pPr>
        <w:ind w:left="120" w:right="260" w:firstLine="881"/>
        <w:spacing w:after="0" w:line="311" w:lineRule="auto"/>
        <w:rPr>
          <w:sz w:val="20"/>
          <w:szCs w:val="20"/>
          <w:color w:val="auto"/>
        </w:rPr>
      </w:pPr>
      <w:r>
        <w:rPr>
          <w:rFonts w:ascii="Arial" w:cs="Arial" w:eastAsia="Arial" w:hAnsi="Arial"/>
          <w:sz w:val="16"/>
          <w:szCs w:val="16"/>
          <w:i w:val="1"/>
          <w:iCs w:val="1"/>
          <w:color w:val="auto"/>
        </w:rPr>
        <w:t xml:space="preserve">Changes to Capitalization. </w:t>
      </w:r>
      <w:r>
        <w:rPr>
          <w:rFonts w:ascii="Arial" w:cs="Arial" w:eastAsia="Arial" w:hAnsi="Arial"/>
          <w:sz w:val="16"/>
          <w:szCs w:val="16"/>
          <w:color w:val="auto"/>
        </w:rPr>
        <w:t>In the event of certain non-reciprocal transaction between us and our shareholders, such as a share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share sub-division, spin-off or recapitalization, the plan administrator may adjust the number and type of securities subject to each outstanding award and/or the awards’ exercise price or grant price (if applicable), grant new awards to the participants and make a cash payment to the participants.</w:t>
      </w:r>
    </w:p>
    <w:p>
      <w:pPr>
        <w:spacing w:after="0" w:line="149"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i w:val="1"/>
          <w:iCs w:val="1"/>
          <w:color w:val="auto"/>
        </w:rPr>
        <w:t xml:space="preserve">Corporate Transaction or Change in Control Transactions. </w:t>
      </w:r>
      <w:r>
        <w:rPr>
          <w:rFonts w:ascii="Arial" w:cs="Arial" w:eastAsia="Arial" w:hAnsi="Arial"/>
          <w:sz w:val="17"/>
          <w:szCs w:val="17"/>
          <w:color w:val="auto"/>
        </w:rPr>
        <w:t>In the event of a corporate transaction or change of control, subject to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set forth in the 2017 Plan, the plan administrator may take the actions to prevent dilution, to facilitate such transaction or event or give effect to such changes in applicable laws or applicable accounting standards. The awards may be (i) cancelled in exchange for either an amount of cash or other property or any combination, (ii) vested or exercised, as applicable, (iii) assumed or substituted, (iv) adjusted in the number, type of shares, grant price, exercise price and/or other terms and conditions, (v) replaced with other rights or property selected by the plan administrator and (vi) terminated without being vested or exercised but becoming payable after the applicable event. If a change in control occurs and the participant’s awards are not continued, converted, assumed or replaced with the substantially similar award and provided that such participant is still our employee, director or consultant,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In the event of any pending share dividend, share sub-division, consolidation or exchange of shares, merger, consolidation or other distribution (other than normal cash dividends) of our company’s assets to shareholders, or any other extraordinary transaction or change affecting our shares, including any Equity Restructuring (as defined in the 2017 Plan) or any securities offering or other similar transaction, for administrative convenience, the plan administrator may refuse to permit the exercise of any award for up to 60 days before or after such transaction.</w:t>
      </w:r>
    </w:p>
    <w:p>
      <w:pPr>
        <w:spacing w:after="0" w:line="18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i w:val="1"/>
          <w:iCs w:val="1"/>
          <w:color w:val="auto"/>
        </w:rPr>
        <w:t xml:space="preserve">Amendment, Suspension and Termination. </w:t>
      </w:r>
      <w:r>
        <w:rPr>
          <w:rFonts w:ascii="Arial" w:cs="Arial" w:eastAsia="Arial" w:hAnsi="Arial"/>
          <w:sz w:val="17"/>
          <w:szCs w:val="17"/>
          <w:color w:val="auto"/>
        </w:rPr>
        <w:t>The 2017 Plan has a term of ten years and will automatically terminate in July 2032, unless</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earlier in accordance with its terms. Our board of directors or our compensation committee may amend, suspend or terminate the 2017 Plan. However, unless otherwise determined by the plan administrator in good faith, no suspension or termination of the 2017 Plan shall materially adversely affect any rights under awards already granted to a participant without the affected participant’s consent.</w:t>
      </w:r>
    </w:p>
    <w:p>
      <w:pPr>
        <w:spacing w:after="0" w:line="171"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of the date of this prospectus, all the options and restricted shares granted to certain of our directors and executive officers under the 2008 Plan and 2017 Plan were exercised (in case of options) and fully vested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case of restricted shares); and other grantees as a group held ordinary shares underlying the outstanding options to purchase an aggregate of 1,056 ordinary shares granted under the 2008 Plan and the 2017 Plan with an exercise prices of $0.05 per share, excluding awards that were forfeited, repurchased, cancelled, lapsed, settled or otherwise expired after the relevant grant 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Trusts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2021, we established Dongsi Tou Tiao Trust and Dongsi Er Tiao Trust, which we collectively refer to as the Equity Incentive Trusts, under their respective trust deeds, each dated July 13, 2021, between us and Futu Trustee Limited, or Futu Trustee, as trustee of each of the Equity Incentive Trusts. Dongsi Tou Tiao Trust and Dongsi Er Tiao Trust controls and manages the British Virgin Islands incorporated entities, Dongsi Tou Tiao Limited and Dongsi Er Tiao Limited, respectively, which we collectively refer to as the Trust Holdcos. From time to time, we may issue our ordinary shares to the Trust Holdcos upon any exercise of options, restricted share units and/or vesting of restricted shares we granted under the 2008 Plan and 2017 Plan to certain participants under the 2008 Plan and 2017 Plan, including certain of our employees, executive officers and directors and/or their affiliates. The Trust Holdcos are to hold such shares for and on behalf of these participants and/or their affiliates, who are the beneficiaries of the Trusts.</w:t>
      </w:r>
    </w:p>
    <w:p>
      <w:pPr>
        <w:spacing w:after="0" w:line="192"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Each of the trust deeds provides that Futu Trustee shall not exercise the voting rights attached to such shares held by the Equity Incentive Trusts, or the investment and dispositive power, unless otherwise directed by the corresponding advisory committees of each of the Equity Incentive Trusts. As of the date of this prospectus, the members of the advisory committee of each of the Equity Incentive Trusts are the non-affiliate employees of our company. The Equity Incentive Trusts are treated as our consolidated VIEs under U.S. GAAP.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on an as-converted basis, as of the date of this prospectus, for:</w:t>
      </w:r>
    </w:p>
    <w:p>
      <w:pPr>
        <w:spacing w:after="0" w:line="197"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total issued and outstanding ordinary shares.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adopted a dual class ordinary share structure, which will become effective immediately prior to the completion of this offering. The calculations in the table below are based on:</w:t>
      </w:r>
    </w:p>
    <w:p>
      <w:pPr>
        <w:spacing w:after="0" w:line="197" w:lineRule="exact"/>
        <w:rPr>
          <w:sz w:val="20"/>
          <w:szCs w:val="20"/>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37,303,546 ordinary shares outstanding on an as-converted basis as of the date of this prospectus; and</w:t>
      </w:r>
    </w:p>
    <w:p>
      <w:pPr>
        <w:spacing w:after="0" w:line="252" w:lineRule="exact"/>
        <w:rPr>
          <w:rFonts w:ascii="Arial" w:cs="Arial" w:eastAsia="Arial" w:hAnsi="Arial"/>
          <w:sz w:val="18"/>
          <w:szCs w:val="18"/>
          <w:color w:val="auto"/>
        </w:rPr>
      </w:pPr>
    </w:p>
    <w:p>
      <w:pPr>
        <w:ind w:left="1420" w:right="380" w:hanging="319"/>
        <w:spacing w:after="0" w:line="259"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40,243,546 ordinary shares outstanding on an as-converted basis immediately after the completion of this offering, comprised of 30,916,814 Class A ordinary shares on an as-converted basis, including 2,940,000 Class A ordinary shares to be sold by us in this offering, and 9,326,732 Class B ordinary shares on an as-converted basis, assuming the underwriter does not exercise the over-allotment option to purchase additional Class A ordinary shares.</w:t>
      </w:r>
    </w:p>
    <w:p>
      <w:pPr>
        <w:spacing w:after="0" w:line="187"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prospectus, including through the exercise of any option, warrant or other right or the conversion of any other security. These shares, however, are not included in the computation of the percentage ownership of any other person.</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Ordinary 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8"/>
            <w:vMerge w:val="restart"/>
          </w:tcPr>
          <w:p>
            <w:pPr>
              <w:jc w:val="right"/>
              <w:ind w:right="660"/>
              <w:spacing w:after="0"/>
              <w:rPr>
                <w:sz w:val="20"/>
                <w:szCs w:val="20"/>
                <w:color w:val="auto"/>
              </w:rPr>
            </w:pPr>
            <w:r>
              <w:rPr>
                <w:rFonts w:ascii="Arial" w:cs="Arial" w:eastAsia="Arial" w:hAnsi="Arial"/>
                <w:sz w:val="14"/>
                <w:szCs w:val="14"/>
                <w:b w:val="1"/>
                <w:bCs w:val="1"/>
                <w:color w:val="auto"/>
                <w:w w:val="95"/>
              </w:rPr>
              <w:t>Ordinary Shares Beneficially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8"/>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This Offering***</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Owned After This Offering***</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2"/>
                <w:szCs w:val="12"/>
                <w:color w:val="auto"/>
              </w:rPr>
            </w:pP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Class B</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960" w:type="dxa"/>
            <w:vAlign w:val="bottom"/>
            <w:gridSpan w:val="4"/>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on 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Ordinary</w:t>
            </w:r>
          </w:p>
        </w:tc>
        <w:tc>
          <w:tcPr>
            <w:tcW w:w="10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Ordinary</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as-converted</w:t>
            </w:r>
          </w:p>
        </w:tc>
        <w:tc>
          <w:tcPr>
            <w:tcW w:w="1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Beneficial</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w:t>
            </w:r>
          </w:p>
        </w:tc>
        <w:tc>
          <w:tcPr>
            <w:tcW w:w="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Ownership</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7"/>
                <w:szCs w:val="17"/>
                <w:color w:val="auto"/>
              </w:rPr>
              <w:t>Larry Lei Wu</w:t>
            </w:r>
            <w:r>
              <w:rPr>
                <w:rFonts w:ascii="Arial" w:cs="Arial" w:eastAsia="Arial" w:hAnsi="Arial"/>
                <w:sz w:val="25"/>
                <w:szCs w:val="25"/>
                <w:color w:val="auto"/>
                <w:vertAlign w:val="superscript"/>
              </w:rPr>
              <w:t>(1)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9,326,732</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25.0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9,326,732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9,326,732</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23.2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Xin Wan</w:t>
            </w:r>
            <w:r>
              <w:rPr>
                <w:rFonts w:ascii="Arial" w:cs="Arial" w:eastAsia="Arial" w:hAnsi="Arial"/>
                <w:sz w:val="25"/>
                <w:szCs w:val="25"/>
                <w:color w:val="auto"/>
                <w:vertAlign w:val="superscript"/>
              </w:rPr>
              <w:t>(2)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1,097,540</w:t>
            </w:r>
          </w:p>
        </w:tc>
        <w:tc>
          <w:tcPr>
            <w:tcW w:w="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1,097,540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1,097,540</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7"/>
                <w:szCs w:val="17"/>
                <w:color w:val="auto"/>
              </w:rPr>
              <w:t>Frank Lin</w:t>
            </w:r>
            <w:r>
              <w:rPr>
                <w:rFonts w:ascii="Arial" w:cs="Arial" w:eastAsia="Arial" w:hAnsi="Arial"/>
                <w:sz w:val="25"/>
                <w:szCs w:val="25"/>
                <w:color w:val="auto"/>
                <w:vertAlign w:val="superscript"/>
              </w:rPr>
              <w:t>(3)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6,990,586</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18.7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7,806,886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7,806,886</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19.4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Xing Huang</w:t>
            </w:r>
          </w:p>
        </w:tc>
        <w:tc>
          <w:tcPr>
            <w:tcW w:w="3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Zhiwu Chen</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Binghe Guo</w:t>
            </w:r>
          </w:p>
        </w:tc>
        <w:tc>
          <w:tcPr>
            <w:tcW w:w="3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Thomas Liu</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Kwok Hei David Lau</w:t>
            </w:r>
          </w:p>
        </w:tc>
        <w:tc>
          <w:tcPr>
            <w:tcW w:w="3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17,414,858</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46.6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8,904,426</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9,326,732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18,231,158</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45.3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7"/>
                <w:szCs w:val="17"/>
                <w:color w:val="auto"/>
              </w:rPr>
              <w:t>Larry Lei Wu</w:t>
            </w:r>
            <w:r>
              <w:rPr>
                <w:rFonts w:ascii="Arial" w:cs="Arial" w:eastAsia="Arial" w:hAnsi="Arial"/>
                <w:sz w:val="25"/>
                <w:szCs w:val="25"/>
                <w:color w:val="auto"/>
                <w:vertAlign w:val="superscript"/>
              </w:rPr>
              <w:t>(1)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9,326,732</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25.0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9,326,732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9,326,732</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23.2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DCM entities</w:t>
            </w:r>
            <w:r>
              <w:rPr>
                <w:rFonts w:ascii="Arial" w:cs="Arial" w:eastAsia="Arial" w:hAnsi="Arial"/>
                <w:sz w:val="25"/>
                <w:szCs w:val="25"/>
                <w:color w:val="auto"/>
                <w:vertAlign w:val="superscript"/>
              </w:rPr>
              <w:t>(4)</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6,990,586</w:t>
            </w:r>
          </w:p>
        </w:tc>
        <w:tc>
          <w:tcPr>
            <w:tcW w:w="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5"/>
              </w:rPr>
              <w:t>18.7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7,806,886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7,806,886</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7"/>
                <w:szCs w:val="17"/>
                <w:color w:val="auto"/>
              </w:rPr>
              <w:t>JD entity</w:t>
            </w:r>
            <w:r>
              <w:rPr>
                <w:rFonts w:ascii="Arial" w:cs="Arial" w:eastAsia="Arial" w:hAnsi="Arial"/>
                <w:sz w:val="25"/>
                <w:szCs w:val="25"/>
                <w:color w:val="auto"/>
                <w:vertAlign w:val="superscript"/>
              </w:rPr>
              <w:t>(5)</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4,211,333</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11.3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4,211,333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4,211,333</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10.5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Dongsi Er Tiao Trust</w:t>
            </w:r>
            <w:r>
              <w:rPr>
                <w:rFonts w:ascii="Arial" w:cs="Arial" w:eastAsia="Arial" w:hAnsi="Arial"/>
                <w:sz w:val="25"/>
                <w:szCs w:val="25"/>
                <w:color w:val="auto"/>
                <w:vertAlign w:val="superscript"/>
              </w:rPr>
              <w:t>(6)</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3,668,363</w:t>
            </w:r>
          </w:p>
        </w:tc>
        <w:tc>
          <w:tcPr>
            <w:tcW w:w="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3,668,363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3,668,363</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Arial" w:cs="Arial" w:eastAsia="Arial" w:hAnsi="Arial"/>
                <w:sz w:val="17"/>
                <w:szCs w:val="17"/>
                <w:color w:val="auto"/>
              </w:rPr>
              <w:t>Hua Yuan International Limited</w:t>
            </w:r>
            <w:r>
              <w:rPr>
                <w:rFonts w:ascii="Arial" w:cs="Arial" w:eastAsia="Arial" w:hAnsi="Arial"/>
                <w:sz w:val="25"/>
                <w:szCs w:val="25"/>
                <w:color w:val="auto"/>
                <w:vertAlign w:val="superscript"/>
              </w:rPr>
              <w:t>(7)</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3,566,272</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rPr>
              <w:t>9.6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3,566,272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3,566,272</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8.9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Hong Kong Red Star Macalline Universal Home Furnishings</w:t>
            </w:r>
          </w:p>
        </w:tc>
        <w:tc>
          <w:tcPr>
            <w:tcW w:w="38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Limited</w:t>
            </w:r>
            <w:r>
              <w:rPr>
                <w:rFonts w:ascii="Arial" w:cs="Arial" w:eastAsia="Arial" w:hAnsi="Arial"/>
                <w:sz w:val="26"/>
                <w:szCs w:val="26"/>
                <w:color w:val="auto"/>
                <w:vertAlign w:val="superscript"/>
              </w:rPr>
              <w:t>(8)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2,943,786</w:t>
            </w:r>
          </w:p>
        </w:tc>
        <w:tc>
          <w:tcPr>
            <w:tcW w:w="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2,943,786</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2,943,786</w:t>
            </w: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0"/>
        </w:trPr>
        <w:tc>
          <w:tcPr>
            <w:tcW w:w="4640" w:type="dxa"/>
            <w:vAlign w:val="bottom"/>
          </w:tcPr>
          <w:p>
            <w:pPr>
              <w:spacing w:after="0"/>
              <w:rPr>
                <w:sz w:val="20"/>
                <w:szCs w:val="20"/>
                <w:color w:val="auto"/>
              </w:rPr>
            </w:pPr>
            <w:r>
              <w:rPr>
                <w:rFonts w:ascii="Arial" w:cs="Arial" w:eastAsia="Arial" w:hAnsi="Arial"/>
                <w:sz w:val="18"/>
                <w:szCs w:val="18"/>
                <w:color w:val="auto"/>
              </w:rPr>
              <w:t>FireDragon Holdings Inc.</w:t>
            </w:r>
            <w:r>
              <w:rPr>
                <w:rFonts w:ascii="Arial" w:cs="Arial" w:eastAsia="Arial" w:hAnsi="Arial"/>
                <w:sz w:val="26"/>
                <w:szCs w:val="26"/>
                <w:color w:val="auto"/>
                <w:vertAlign w:val="superscript"/>
              </w:rPr>
              <w:t>(9)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2,046,984</w:t>
            </w: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rPr>
              <w:t>5.5</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2,046,984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2,046,984</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5.1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40" w:hanging="544"/>
        <w:spacing w:after="0" w:line="272"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as indicated otherwise below, the business address of our directors and executive officers is Unit A, 12/F, Shun Ho Tower, 24-30 Ice House Street, Central, Hong Kong. The business address of Frank Lin is Unit 1, Level 10, Tower W2, Oriental Plaza, 1# Changan Ave, Dong Cheng District, Beijing. The business address of Xing Huang is Building 4, Jingdong Headquarters at the intersection of Kechuang 11th Street and Jinghai 4th Road, Yizhuang Economic Development Zone, Daxing District, Beijing. The business address of Zhiwu Chen is Asia Global Institute, Room 326-348, 3/F., Main Building, The University of Hong Kong, Pokfulam, Hong Kong. The business address of Binghe Guo is 7th Floor, North Building, Block B, Lane 1466, Shenchang Road, Minhang District, Shanghai, China. The business address of Thomas Liu is 29F, Tower 3, Jing An Kerry Centre, 1228 Middle Yan’an Road Shanghai.</w:t>
      </w:r>
    </w:p>
    <w:p>
      <w:pPr>
        <w:spacing w:after="0" w:line="204" w:lineRule="exact"/>
        <w:rPr>
          <w:rFonts w:ascii="Arial" w:cs="Arial" w:eastAsia="Arial" w:hAnsi="Arial"/>
          <w:sz w:val="17"/>
          <w:szCs w:val="17"/>
          <w:color w:val="auto"/>
        </w:rPr>
      </w:pPr>
    </w:p>
    <w:p>
      <w:pPr>
        <w:ind w:left="660" w:right="300" w:hanging="544"/>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Beneficial ownership information disclosed herein represents direct and indirect holdings of entities owned, controlled or otherwise affiliated with the applicable holder as determined in accordance with the rules and regulations of the SEC.</w:t>
      </w:r>
    </w:p>
    <w:p>
      <w:pPr>
        <w:spacing w:after="0" w:line="197" w:lineRule="exact"/>
        <w:rPr>
          <w:rFonts w:ascii="Arial" w:cs="Arial" w:eastAsia="Arial" w:hAnsi="Arial"/>
          <w:sz w:val="18"/>
          <w:szCs w:val="18"/>
          <w:color w:val="auto"/>
        </w:rPr>
      </w:pPr>
    </w:p>
    <w:p>
      <w:pPr>
        <w:ind w:left="660" w:hanging="544"/>
        <w:spacing w:after="0" w:line="272"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each person or group included in this column, percentage of total voting power represents voting power based on both Class A and Class B ordinary shares beneficially owned by such person or group with respect to the voting power of all of our issued and outstanding Class A and Class B ordinary shares as a single class. Each holder of our Class A ordinary shares is entitled to one vote per share and each holder of our Class B ordinary shares is entitled to ten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into Class A ordinary shares on a one-for-one basis, while Class A ordinary shares are not convertible into Class B ordinary shares under any circumstances.</w:t>
      </w:r>
    </w:p>
    <w:p>
      <w:pPr>
        <w:spacing w:after="0" w:line="204" w:lineRule="exact"/>
        <w:rPr>
          <w:sz w:val="20"/>
          <w:szCs w:val="20"/>
          <w:color w:val="auto"/>
        </w:rPr>
      </w:pPr>
    </w:p>
    <w:p>
      <w:pPr>
        <w:ind w:left="660" w:right="60" w:hanging="544"/>
        <w:spacing w:after="0" w:line="25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(i) 154,880 ordinary shares held by TALENT BOOM GROUP LIMITED, a company incorporated in the British Virgin Islands and controlled by Mr. Wu and (ii) 7,600,809 ordinary shares and 1,571,043 ordinary shares issuable upon conversion of the same amount of series B preferred shares held by Ji Xiang Hu Tong Holdings Limited, a company incorporated in the British Virgin Islands. The sole shareholder of Ji Xiang Hu Tong Holdings Limited is a limited liability company incorporated in Delaware, U.S., controlled by Mr. Wu as its sole member and sole manager. Mr. Wu may be deemed to be the beneficial owner of the shares held by TALENT BOOM GROUP LIMITED and Ji Xiang Hu Tong Holdings Limited. The registered address of TALENT BOOM GROUP LIMITED and Ji Xiang Hu Tong Holdings Limited is Vistra Corporate Services Centre, Wickhams Cay II, Road Town, Tortola, VG1110, British Virgin Islands. All the shares held by TALENT BOOM GROUP LIMITED and Ji Xiang Hu Tong Holdings Limited will be re-classified and re-designated as Class B ordinary shares immediately prior to the completion of this offering.</w:t>
      </w:r>
    </w:p>
    <w:p>
      <w:pPr>
        <w:spacing w:after="0" w:line="223" w:lineRule="exact"/>
        <w:rPr>
          <w:rFonts w:ascii="Arial" w:cs="Arial" w:eastAsia="Arial" w:hAnsi="Arial"/>
          <w:sz w:val="18"/>
          <w:szCs w:val="18"/>
          <w:color w:val="auto"/>
        </w:rPr>
      </w:pPr>
    </w:p>
    <w:p>
      <w:pPr>
        <w:ind w:left="660" w:right="20" w:hanging="544"/>
        <w:spacing w:after="0" w:line="269"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1,097,540 ordinary shares held through Dongsi Tou Tiao Limited, a company incorporated in British Virgin Islands. Dongsi Tou Tiao Limited is controlled and managed by Dongsi Tou Tiao Trust, a trust established under a trust deed dated July 13, 2021 between us and Futu Trustee as trustee. The trust’s beneficiaries are certain of our directors and executive officers, including Mr. Wan, who are the participants of our 2008 Plan and 2017 Plan. The trust deed provides that the trustee shall not exercise the voting rights attached to our shares held by Dongsi Tou Tiao Limited, or the investment and dispositive power, unless otherwise directed by the advisory committee of the trust. As of the date of this prospectus, the sole member of the advisory committee of Dongsi Tou Tiao Trust is our human resource manager, who is not our director, executive officer or affiliate. Dongsi Tou Tiao Trust is therefore treated as our consolidated VIE under U.S. GAAP. For details of Dongsi Tou Tiao Limited and Dongsi Tou Tiao Trust, see “Management—Share Incentive Plans—Equity Incentive Trusts.” Each of Mr. Wan and the advisory committee member disclaims the beneficial ownership of our shares held by Dongsi Tou Tiao Limited, except to the extent of any pecuniary interest therein. The registered address of Dongsi Tou Tiao Limited is at the offices of Trinity Chambers, P.O. Box 4301, Road Town, Tortola, British Virgin Islands. All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shares held by Dongsi Tou Tiao Limited will be re-classified and re-designated as Class A ordinary shares immediately prior to the completion of this offering.</w:t>
      </w:r>
    </w:p>
    <w:p>
      <w:pPr>
        <w:spacing w:after="0" w:line="197" w:lineRule="exact"/>
        <w:rPr>
          <w:sz w:val="20"/>
          <w:szCs w:val="20"/>
          <w:color w:val="auto"/>
        </w:rPr>
      </w:pPr>
    </w:p>
    <w:p>
      <w:pPr>
        <w:ind w:left="660" w:hanging="544"/>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ordinary shares held by certain entities affiliated with DCM. See note (4) below.</w:t>
      </w:r>
    </w:p>
    <w:p>
      <w:pPr>
        <w:spacing w:after="0" w:line="252" w:lineRule="exact"/>
        <w:rPr>
          <w:rFonts w:ascii="Arial" w:cs="Arial" w:eastAsia="Arial" w:hAnsi="Arial"/>
          <w:sz w:val="18"/>
          <w:szCs w:val="18"/>
          <w:color w:val="auto"/>
        </w:rPr>
      </w:pPr>
    </w:p>
    <w:p>
      <w:pPr>
        <w:ind w:left="660" w:right="20" w:hanging="544"/>
        <w:spacing w:after="0" w:line="267"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(i) 964,981 ordinary shares and an aggregate of 5,852,240 ordinary shares issuable upon conversion of 91,799 series A preferred shares and 5,760,441 series B preferred shares held by DCM IV, L.P., a Cayman Islands exempted limited partnership (“DCM IV”), and (ii) 24,540 ordinary shares, and an aggregate of 148,825 ordinary shares issuable upon conversion of 2,334 series A preferred shares and 146,491 series B preferred shares held by DCM Affiliates Fund IV, L.P., a Cayman Islands exempted limited partnership (“DCM Affiliates IV”). The number of Class A ordinary shares beneficially owned immediately after this offering also includes an aggregate of 816,300 Class A ordinary shares which DCM U.S. Fund IX, Ltd. (“DCM IX”) and DCM Affiliates Fund IX, L.P. (“DCM Affiliates IX”) have agreed to purchase, and have been allocated by the underwriter, in this offering at the initial public offering price and on the same terms as the other shares being offered in this offering. DCM Investment Management IV, L.P. (“DCM IV DGP”), the general partner of each of DCM IV and DCM Affiliates IV, and DCM International IV, Ltd., the general partner of DCM IV DGP (“DCM IV UGP”), may each be deemed to have sole voting and dispositive power over the shares held by DCM IV and DCM Affiliates IV. DCM Investment Management IX, L.P. (“DCM IX DGP”), the general partner of each of DCM IX and DCM Affiliates IX, and DCM International IX, Ltd., the general partner of DCM IX DGP (“DCM IX UGP”), may each be deemed to have sole voting and dispositive power over the shares held by DCM IX and DCM Affiliates IX. Frank Lin and Matthew C. Bonner are the directors of DCM IV UGP and DCM IX UGP and may be deemed to share voting and dispositive power over the shares held by DCM IV, DCM Affiliates IV, DCM IX and DCM Affiliates IX. Each of the foregoing persons disclaims beneficial ownership of shares held by DCM IV, DCM Affiliates IV, DCM IX and DCM Affiliates IX, except to the extent of any pecuniary interest therein. The business address of DCM IV, DCM Affiliates IV, DCM IX and DCM Affiliates IX is 2420 Sand Hill Road, Suite 200 Menlo Park, CA 94025. All the shares held by DCM IV and DCM Affiliates IV will be re-classified and re-designated as Class A ordinary shares immediately prior to the completion of this offering.</w:t>
      </w:r>
    </w:p>
    <w:p>
      <w:pPr>
        <w:spacing w:after="0" w:line="216" w:lineRule="exact"/>
        <w:rPr>
          <w:rFonts w:ascii="Arial" w:cs="Arial" w:eastAsia="Arial" w:hAnsi="Arial"/>
          <w:sz w:val="17"/>
          <w:szCs w:val="17"/>
          <w:color w:val="auto"/>
        </w:rPr>
      </w:pPr>
    </w:p>
    <w:p>
      <w:pPr>
        <w:ind w:left="660" w:right="100" w:hanging="544"/>
        <w:spacing w:after="0" w:line="272"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an aggregate of 4,211,333 ordinary shares issuable upon conversion of 12,017 series A preferred shares and 293,706 series B preferred shares, 1,185,808 series C preferred shares and 2,719,802 series E preferred shares held by Honeysuckle Creek Limited, a company incorporated in the British Virgin Islands. Honeysuckle Creek Limited is wholly owned by JD.com Investment Limited, which is a wholly-owned subsidiary of JD.com, Inc., a company incorporated in the Cayman Islands and listed on the Nasdaq Global Select Market (Nasdaq: JD) and the Main Board of the Hong Kong Stock Exchange (HKEX: 9618). The registered address of Honeysuckle Creek Limited is Craigmuir Chambers, Road Town, Tortola, VG 1110, British Virgin Islands. All the shares held by Honeysuckle Creek Limited will be re-classified and re-designated as Class A ordinary shares immediately prior to the completion of this offering.</w:t>
      </w:r>
    </w:p>
    <w:p>
      <w:pPr>
        <w:spacing w:after="0" w:line="204" w:lineRule="exact"/>
        <w:rPr>
          <w:rFonts w:ascii="Arial" w:cs="Arial" w:eastAsia="Arial" w:hAnsi="Arial"/>
          <w:sz w:val="17"/>
          <w:szCs w:val="17"/>
          <w:color w:val="auto"/>
        </w:rPr>
      </w:pPr>
    </w:p>
    <w:p>
      <w:pPr>
        <w:ind w:left="660" w:right="20" w:hanging="544"/>
        <w:spacing w:after="0" w:line="25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3,668,363 ordinary shares held by Dongsi Er Tiao Limited, a company incorporated in British Virgin Islands. Dongsi Er Tiao Limited is controlled and managed by Dongsi Er Tiao Trust, a trust established under a trust deed dated July 13, 2021 between us and Futu Trustee as trustee. The trust’s beneficiaries are certain of our employees who are the participants of our 2008 Plan and 2017 Plan. The trust deed provides that the trustee shall not exercise the voting rights attached to our shares held by Dongsi Er Tiao Limited, or the investment and dispositive power, unless otherwise directed by the advisory committee of the trust. As of the date of this prospectus, the sole member of the advisory committee of Dongsi Er Tiao Trust is our CEO assistant, who is not our director, executive officer or affiliate. Dongsi Er Tiao Trust is therefore treated as our consolidated VIE under U.S. GAAP. For details of Dongsi Er Tiao Limited and Dongsi Er Tiao Trust, see “Management—Share Incentive Plans—Equity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Incentive Trusts.” The advisory committee member disclaims the beneficial ownership of our shares held by Dongsi Er Tiao Limited, except to the extent of any pecuniary interest therein. The registered address of Dongsi Er Tiao Limited is at the offices of Trinity Chambers, P.O. Box 4301, Road Town, Tortola, British Virgin Islands. All the shares held by Dongsi Er Tiao Limited will be re-classified and re-designated as Class A ordinary shares immediately prior to the completion of this offering.</w:t>
      </w:r>
    </w:p>
    <w:p>
      <w:pPr>
        <w:spacing w:after="0" w:line="214" w:lineRule="exact"/>
        <w:rPr>
          <w:sz w:val="20"/>
          <w:szCs w:val="20"/>
          <w:color w:val="auto"/>
        </w:rPr>
      </w:pPr>
    </w:p>
    <w:p>
      <w:pPr>
        <w:ind w:left="660" w:right="80" w:hanging="544"/>
        <w:spacing w:after="0" w:line="288"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an aggregate of 3,566,272 ordinary shares issuable upon conversion of 2,286,365 series C preferred shares and 1,279,907 series E preferred shares held by Hua Yuan International Limited, a company incorporated in Hong Kong. Hua Yuan International Limited is wholly owned by China-Singapore Suzhou Industrial Park Ventures Co., Ltd, which is wholly owned by Suzhou Oriza Holdings Corporation Limited. Suzhou Oriza Holdings Corporation Limited is controlled by Suzhou Industrial Park Economic Development Co., Ltd., which is PRC state-owned enterprise. Mr. Chengwei Liu is the sole director of Hua Yuan International Limited and has the voting and investment power over Hua Yuan International Limited. Mr. Chengwei Liu disclaims the beneficial ownership of the shares held by Hua Yuan International Limited, except to the extent of any pecuniary interest therein. The registered address of Hua Yuan International Limited is Room 8201, 82/F, International Commerce Centre, 1 Austin Road, West KL, Hong Kong. The business address of Mr. Chengwei Liu is Block 19, Sandlake VC/PE Community, 183 Suhong Dong Rd., Suzhou Industrial Park, Jiangsu, China. All the shares held by Hua Yuan International Limited will be re-classified and re-designated as Class A ordinary shares immediately prior to the completion of this offering.</w:t>
      </w:r>
    </w:p>
    <w:p>
      <w:pPr>
        <w:spacing w:after="0" w:line="195" w:lineRule="exact"/>
        <w:rPr>
          <w:rFonts w:ascii="Arial" w:cs="Arial" w:eastAsia="Arial" w:hAnsi="Arial"/>
          <w:sz w:val="16"/>
          <w:szCs w:val="16"/>
          <w:color w:val="auto"/>
        </w:rPr>
      </w:pPr>
    </w:p>
    <w:p>
      <w:pPr>
        <w:ind w:left="660" w:right="20" w:hanging="544"/>
        <w:spacing w:after="0" w:line="270"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an aggregate of 2,943,786 ordinary shares issuable upon conversion of 2,943,786 series D preferred shares held by Hong Kong Red Star Macalline Universal Home Furnishings Limited, or Hong Kong Red Star Macalline, a company incorporated in Hong Kong. Hong Kong Red Star Macalline is wholly owned by Red Star Macalline Group Corporation Limited, a company established in China and a public company listed in Hong Kong (HKSE: 1528) and Shanghai (SSE: 601828). The controlling shareholder of Red Star Macalline Group Corporation Limited is Mr. Jianxing Che who may be deemed to be the beneficial owner of the shares held by Hong Kong Red Star Macalline. The registered address of Hong Kong Red Star Macalline Universal Home Furnishings Limited is 31/F Tower Two Times Square, 1 Matheson Street, Causeway Bay, Hong Kong. The business address of Mr. Jianxing Che is c/o Red Star Macalline Group Corporation Limited, No. 2/5, Lane 1466, Shenchang road, Minhang District, Shanghai, China. All the shares held by Hong Kong Red Star Macalline will be re-classified and re-designated as Class A ordinary shares immediately prior to the completion of this offering.</w:t>
      </w:r>
    </w:p>
    <w:p>
      <w:pPr>
        <w:spacing w:after="0" w:line="207" w:lineRule="exact"/>
        <w:rPr>
          <w:rFonts w:ascii="Arial" w:cs="Arial" w:eastAsia="Arial" w:hAnsi="Arial"/>
          <w:sz w:val="17"/>
          <w:szCs w:val="17"/>
          <w:color w:val="auto"/>
        </w:rPr>
      </w:pPr>
    </w:p>
    <w:p>
      <w:pPr>
        <w:ind w:left="660" w:hanging="544"/>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an aggregate of 2,046,984 ordinary shares held by FireDragon Holdings Inc., a company incorporated in the British Virgin Islands, wholly owned by Lianya Pan, one of our founders. Mr. Pan may be deemed to be the beneficial owner of the shares held by FireDragon Holdings Inc. The registered address of FireDragon Holdings Inc. is Trinity Chambers, P.O. Box 4301, Road Town, Tortola, British Virgin Islands. All the shares held by FireDragon Holdings Inc. will be re-classified and re-designated as Class A ordinary shares immediately prior to the completion of this offering.</w:t>
      </w:r>
    </w:p>
    <w:p>
      <w:pPr>
        <w:spacing w:after="0" w:line="188"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As of the date of this prospectus, we have 253,479 ordinary shares held by record holders in the U.S. We are not aware of any arrangement that may, at a subsequent date, result in a change of control of our company.</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See “Description of Share Capital—History of Securities Issuances” for a description of issuances of our ordinary shares that have resulted in significant changes in ownership held by our major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Consolidated VIEs and their Shareholders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“Corporate History and Structure.”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“Description of Share Capital—Shareholders Agreement.”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Certain Directors and Officers</w:t>
      </w:r>
    </w:p>
    <w:p>
      <w:pPr>
        <w:spacing w:after="0" w:line="229" w:lineRule="exact"/>
        <w:rPr>
          <w:sz w:val="20"/>
          <w:szCs w:val="20"/>
          <w:color w:val="auto"/>
        </w:rPr>
      </w:pPr>
    </w:p>
    <w:p>
      <w:pPr>
        <w:ind w:left="120" w:right="940" w:firstLine="881"/>
        <w:spacing w:after="0" w:line="277" w:lineRule="auto"/>
        <w:rPr>
          <w:sz w:val="20"/>
          <w:szCs w:val="20"/>
          <w:color w:val="auto"/>
        </w:rPr>
      </w:pPr>
      <w:r>
        <w:rPr>
          <w:rFonts w:ascii="Arial" w:cs="Arial" w:eastAsia="Arial" w:hAnsi="Arial"/>
          <w:sz w:val="18"/>
          <w:szCs w:val="18"/>
          <w:color w:val="auto"/>
        </w:rPr>
        <w:t>In December 2019, we borrowed a loan from Mr. Larry Lei Wu, our founder, chairman, director and chief executive officer, for approximately $89,000 in relation to working capital and business benefits, which was fully repaid in January 2020.</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On October 15, 2020, Mr. Larry Lei Wu entered into an arrangement with us, whereby 389,486 vested share options were repurchased by us with the price at $6.25 per share with total consideration of $2.4 million. The repurchases did not trigger the consideration of classification of the share options from equity to liability, as the repurchase was within the sole control of 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“Management—Share Incentive Plans.”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20" w:right="100" w:firstLine="881"/>
        <w:spacing w:after="0" w:line="342" w:lineRule="auto"/>
        <w:rPr>
          <w:sz w:val="20"/>
          <w:szCs w:val="20"/>
          <w:color w:val="auto"/>
        </w:rPr>
      </w:pPr>
      <w:r>
        <w:rPr>
          <w:rFonts w:ascii="Arial" w:cs="Arial" w:eastAsia="Arial" w:hAnsi="Arial"/>
          <w:sz w:val="16"/>
          <w:szCs w:val="16"/>
          <w:color w:val="auto"/>
        </w:rPr>
        <w:t>We are a Cayman Islands exempted company with limited liability and our corporate affairs are governed by our memorandum and articles of association, as amended and restated from time to time, and the Companies Act of the Cayman Islands, and the common law of the Cayman Islands.</w:t>
      </w:r>
    </w:p>
    <w:p>
      <w:pPr>
        <w:spacing w:after="0" w:line="124" w:lineRule="exact"/>
        <w:rPr>
          <w:sz w:val="20"/>
          <w:szCs w:val="20"/>
          <w:color w:val="auto"/>
        </w:rPr>
      </w:pPr>
    </w:p>
    <w:p>
      <w:pPr>
        <w:ind w:left="120" w:right="220" w:firstLine="881"/>
        <w:spacing w:after="0" w:line="291" w:lineRule="auto"/>
        <w:rPr>
          <w:sz w:val="20"/>
          <w:szCs w:val="20"/>
          <w:color w:val="auto"/>
        </w:rPr>
      </w:pPr>
      <w:r>
        <w:rPr>
          <w:rFonts w:ascii="Arial" w:cs="Arial" w:eastAsia="Arial" w:hAnsi="Arial"/>
          <w:sz w:val="16"/>
          <w:szCs w:val="16"/>
          <w:color w:val="auto"/>
        </w:rPr>
        <w:t>As of the date of this prospectus, our authorized share capital is $3,000,000 divided into (i) 38,572,025 ordinary shares of $0.05 par value per share, (ii) 134,190 Series A preferred shares of $0.05 par value per share, (iii) 9,991,588 Series B preferred shares of $0.05 par value per share,</w:t>
      </w:r>
    </w:p>
    <w:p>
      <w:pPr>
        <w:ind w:left="120" w:right="440" w:hanging="4"/>
        <w:spacing w:after="0" w:line="260" w:lineRule="auto"/>
        <w:tabs>
          <w:tab w:leader="none" w:pos="4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4,358,702 Series C preferred shares of $0.05 par value per share, (v) 2,943,786 Series D preferred shares of $0.05 par value per share, and (vi) 3,999,709 Series E preferred shares of $0.05 par value per share.</w:t>
      </w:r>
    </w:p>
    <w:p>
      <w:pPr>
        <w:spacing w:after="0" w:line="185" w:lineRule="exact"/>
        <w:rPr>
          <w:sz w:val="20"/>
          <w:szCs w:val="20"/>
          <w:color w:val="auto"/>
        </w:rPr>
      </w:pPr>
    </w:p>
    <w:p>
      <w:pPr>
        <w:ind w:left="120" w:right="380" w:firstLine="881"/>
        <w:spacing w:after="0" w:line="342" w:lineRule="auto"/>
        <w:rPr>
          <w:sz w:val="20"/>
          <w:szCs w:val="20"/>
          <w:color w:val="auto"/>
        </w:rPr>
      </w:pPr>
      <w:r>
        <w:rPr>
          <w:rFonts w:ascii="Arial" w:cs="Arial" w:eastAsia="Arial" w:hAnsi="Arial"/>
          <w:sz w:val="16"/>
          <w:szCs w:val="16"/>
          <w:color w:val="auto"/>
        </w:rPr>
        <w:t>As of the date of this prospectus, there are 15,875,571 ordinary shares, 134,190 Series A preferred shares, 9,991,588 Series B preferred shares, 4,358,702 Series C preferred shares, 2,943,786 Series D preferred shares, and 3,999,709 Series E preferred shares issued and outstanding.</w:t>
      </w:r>
    </w:p>
    <w:p>
      <w:pPr>
        <w:spacing w:after="0" w:line="124"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We have adopted the seventh amended and restated memorandum and articles of association, which will become effective and replace our current amended and restated memorandum and articles of association in its entirety immediately prior to the completion of the offering.</w:t>
      </w:r>
    </w:p>
    <w:p>
      <w:pPr>
        <w:spacing w:after="0" w:line="12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Immediately prior to the completion of this offering, our authorized share capital will be $3,000,000 divided into 60,000,000 ordinary shares of par value $0.05 each, comprising of (i) 50,673,268 Class A ordinary shares of par value $0.05 each and (ii) 9,326,732 Class B ordinary shares with a par value of $0.05 each.</w:t>
      </w:r>
    </w:p>
    <w:p>
      <w:pPr>
        <w:spacing w:after="0" w:line="184"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Immediately prior to the completion of this offering, except for the shares held by TALENT BOOM GROUP LIMITED and Ji Xiang Hu Tong Holdings Limited, entities controlled by Mr. Larry Lei Wu, our chairman of board of directors and chief executive officer, which will convert into and, where applicable, be re-designated as Class B ordinary shares, all of our issued and outstanding ordinary shares and preferred shares will convert into and, where applicable, be re-designated as an aggregate of 27,976,814 Class A ordinary shares on a one-for-one basis. We will issue 2,940,000 Class A ordinary shares in this offering, assuming the underwriter does not exercise the over-allotment option to purchase additional Class A ordinary shares. As a result, we will have 30,916,814 Class A ordinary shares and 9,326,732 Class B ordinary shares issued and outstanding immediately following the completion of this offering, assuming the underwriter does not exercise the over-allotment option to purchase additional Class A ordinary shares.</w:t>
      </w:r>
    </w:p>
    <w:p>
      <w:pPr>
        <w:spacing w:after="0" w:line="192"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following are summaries of material provisions of our seventh amended and restated memorandum and articles of association, which will be effective immediately prior to the completion of this offering, and the Companies Act insofar as they relate to the material terms of our ordinary shares that we expect will become effective immediately prior to the completion of this offering. Copies of these documents have been filed with the SEC as an exhibit to our registration statement, of which this prospectus forms a part. The descriptions of the ordinary shares reflect changes to our capital structure that will occur when our seventh amended and restated memorandum and articles of association becomes effective.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Objects of Our Company</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Under our seventh amended and restated memorandum and articles of association which will be effective immediately prior to the completion of this offering, the objects of our company are unrestricted and we have the full power and authority to carry out any object not prohibited by the Companies Act or any other law of the Cayman Islands.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120" w:right="20" w:firstLine="881"/>
        <w:spacing w:after="0" w:line="259" w:lineRule="auto"/>
        <w:rPr>
          <w:sz w:val="20"/>
          <w:szCs w:val="20"/>
          <w:color w:val="auto"/>
        </w:rPr>
      </w:pPr>
      <w:r>
        <w:rPr>
          <w:rFonts w:ascii="Arial" w:cs="Arial" w:eastAsia="Arial" w:hAnsi="Arial"/>
          <w:sz w:val="18"/>
          <w:szCs w:val="18"/>
          <w:color w:val="auto"/>
        </w:rPr>
        <w:t>All of our issued and outstanding ordinary shares, which consist of Class A ordinary shares and Class B ordinary shares, are fully paid and non-assessable. Our ordinary shares are issued in registered form and are issued when registered in our register of members. We may not issue shares to bearer. Our shareholders who are non-residents of the Cayman Islands may freely hold, transfer and vote their ordinary shares. The ordinary shares shall participate in our profits and assets.</w:t>
      </w:r>
    </w:p>
    <w:p>
      <w:pPr>
        <w:spacing w:after="0" w:line="187" w:lineRule="exact"/>
        <w:rPr>
          <w:sz w:val="20"/>
          <w:szCs w:val="20"/>
          <w:color w:val="auto"/>
        </w:rPr>
      </w:pPr>
    </w:p>
    <w:p>
      <w:pPr>
        <w:jc w:val="both"/>
        <w:ind w:left="120" w:right="500" w:firstLine="881"/>
        <w:spacing w:after="0" w:line="263" w:lineRule="auto"/>
        <w:rPr>
          <w:sz w:val="20"/>
          <w:szCs w:val="20"/>
          <w:color w:val="auto"/>
        </w:rPr>
      </w:pPr>
      <w:r>
        <w:rPr>
          <w:rFonts w:ascii="Arial" w:cs="Arial" w:eastAsia="Arial" w:hAnsi="Arial"/>
          <w:sz w:val="18"/>
          <w:szCs w:val="18"/>
          <w:color w:val="auto"/>
        </w:rPr>
        <w:t xml:space="preserve">Holders of our Class A ordinary shares and Class B ordinary shares will have the same rights except for voting and conversion rights. Except for voting and conversion rights, the Class A ordinary shares and Class B ordinary shares carry equal rights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one another, including the rights to dividends and other capital distributions.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Subject to the Companies Act, our directors may declare dividends in any currency to be paid to our shareholders. In addition, our shareholders may by ordinary resolution declare a dividend, but no dividend may exceed the amount recommended by our directors.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However, in no circumstances may a dividend be paid if this would result in our company being unable to pay its debts as they fall due in the ordinary course of business. Holders of our ordinary shares will be entitled to such dividends as may be declared by our board of directors and participate pro rata in dividends, if declared.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Each Class B ordinary share is convertible into one Class A ordinary share at any time by the holder thereof. Class A ordinary shares are not convertible into Class B ordinary shares under any circumstances. Upon any sale, transfer, assignment or disposition of Class B ordinary shares by a holder thereof to any person or entity that is not an affiliate (as defined in our seventh amended and restated articles of association) of such holder or entity’s affiliate, or upon a change of control of the ultimate beneficial ownership of any Class B ordinary shares to any person or entity who is not an affiliate of the registered holder of such Class B ordinary shares, such Class B ordinary shares will be automatically and immediately converted into an equal number of Class A ordinary shares.</w:t>
      </w:r>
    </w:p>
    <w:p>
      <w:pPr>
        <w:spacing w:after="0" w:line="19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an undertaking letter dated July 6, 2022, Mr. Larry Lei Wu, or the Founder, together with Ji Xiang Hu Tong Holdings Limited and TALENT BOOM GROUP LIMITED, or collectively, the Founder Holders, have undertaken to our company that: for a period of five years after the closing of this offering, (i) without the prior written consent of our board of directors and at least a majority of the independent directors, the Founder Holders will not agree to, approve, support, vote (in favor of or against), or otherwise cause our company to agree to, enter into or consummate, a privatization transaction, unless the consideration per Class A ordinary share payable to shareholders of the Class A ordinary shares in connection with such privatization transaction is at least equal to the price per Class A ordinary share initially offered to the public in this offering (subject to appropriate adjustment in the event of any stock dividend, stock split, combination or other similar recapitalization with respect to the Class A ordinary shares), provided, for greater clarity, if the Founder is serving on the board, the Founder may vote in favor of, against, or abstain from voting on, a privatization transaction in the capacity of a director, and if such privatization transaction is approved by the board and at least a majority of the independent directors, the Founder Holders as shareholders may vote in favor of, against, or abstain from voting on, the privatization transaction; and (ii) upon the first to occur of: (a) the Founder being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permanently unable to engage in the business affairs of our company as a result of incapacity solely due to his then physical and /or mental condition (which, for the avoidance of doubt, does not include any confinement against his will) or (b) the Founder’s primary business occupation no longer being either a director or an employee of our company, the Founder Holders shall cause, at such time, such Class B ordinary shares held by the Founder Holders to be converted into an equal number of Class A ordinary shares in accordance with our post-offering amended and restated memorandum and articles of association.</w:t>
      </w:r>
    </w:p>
    <w:p>
      <w:pPr>
        <w:spacing w:after="0" w:line="18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for a period of five years after the closing of this offering, each Founder Holder agrees, prior to effectuating an indirect or direct transfer of any Class B ordinary shares, to cause any such proposed transferee of the Class B ordinary shares to execute and deliver to our company a counterpart signature to the undertaking letter confirming that such transferee shall be bound by all of the terms and conditions of the undertaking letter as a Founder Holder. Each Founder Holder may enter into a bona fide transaction with any third-party pledgee that is not an affiliate of such Founder Holder with the Class B ordinary shares as collateral (whether through any pledge, charge, encumbrance or other lien) to secure obligations pursuant to lending or other arrangements between such third party and the Founder Holder without complying with the undertaking letter until the rights to such collateral are enforced to the extent the Class B Ordinary Shares are not converted to Class A Ordinary Shares.</w:t>
      </w:r>
    </w:p>
    <w:p>
      <w:pPr>
        <w:spacing w:after="0" w:line="166"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A “privatization transaction” means any of the following: (a) a “person” or “group” within the meaning of Section 13(d) of the Exchange Act, other than the Founder Holders or us and our wholly-owned subsidiaries, becomes the direct or indirect beneficial owner, of more than 50% of the voting power of our shares; (b) the consummation of (i) any recapitalization, reclassification or change of our Class A ordinary shares (other than changes resulting from a subdivision or combination) as a result of which our Class A ordinary shares would be converted into, or exchanged for, stock, other securities, other property or assets; (ii) any share exchange, consolidation or merger to which we are a party pursuant to which our Class A ordinary shares will be converted into cash, securities or other property or assets; or (iii) any sale, lease or other transfer in one transaction or a series of transactions of all or substantially all of our consolidated assets to any person or entity other than one of our wholly-owned subsidiaries; (c) our shareholders approve any plan or proposal for our liquidation or dissolution; or (d) our Class A ordinary shares cease to be listed or quoted on any of The New York Stock Exchange, The Nasdaq Global Select Market, The Nasdaq Global Market or The Nasdaq Capital Market, (each, a “permitted exchange”), provided, that a transaction or transactions described in (a) or (b) above shall not constitute a privatization transaction if at least 90% of the consideration received or to be received by the holders of our Class A ordinary shares, excluding cash payments for fractional shares and cash payments made in respect of dissenters’ statutory appraisal rights, in connection with such transaction or transactions consists of ordinary or common shares or other common equity that are listed or quoted on a permitted exchange or will be so listed or quoted when issued or exchanged in connection with such transaction or transactions.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Each shareholder is entitled to one vote for each Class A ordinary share and ten votes for each Class B ordinary share, voting together as a single class, on all matters that require a shareholder’s vote. Voting at any shareholders’ meeting shall be by a poll of shareholders who are present in person or by proxy or, in the case of a shareholder being a corporation, by its duly authorized representative, unless by show of hands is demanded.</w:t>
      </w:r>
    </w:p>
    <w:p>
      <w:pPr>
        <w:spacing w:after="0" w:line="14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No shareholder shall be entitled to vote or be reckoned in a quorum, in respect of any share, unless such shareholder is duly registered as our shareholder on the record date for such meeting and all calls or installments due by such shareholder to us have been paid.</w:t>
      </w:r>
    </w:p>
    <w:p>
      <w:pPr>
        <w:spacing w:after="0" w:line="146"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An ordinary resolution to be passed at a general meeting requires the affirmative vote of a simple majority of the votes cast, while a special resolution requires the affirmative vote of no less than two-thirds of votes attached to all issued and outstanding ordinary shares cast at a general meeting. Both ordinary resolutions and special resolutions may also be passed by a unanimous written resolution signed by all the shareholders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company, as permitted by the Companies Act and our seventh amended and restated memorandum and articles of association. A special resolution will be required for certain important matters.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Share Registrar</w:t>
      </w:r>
    </w:p>
    <w:p>
      <w:pPr>
        <w:spacing w:after="0" w:line="225"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Upon the completion of this offering, the transfer agent and share registrar for our Class A ordinary shares will be Computershare Trust Company, N.A. The transfer agent’s address is 150 Royall Street, Canton, Massachusetts 02021, and its telephone number is +1 (781) 575-2464.</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As a Cayman Islands exempted company, we are not obliged by the Companies Act to call shareholders’ annual general meetings. Our seventh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Each general meeting, other than an annual general meeting, shall be an extraordinary general meeting.</w:t>
      </w:r>
    </w:p>
    <w:p>
      <w:pPr>
        <w:spacing w:after="0" w:line="188"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Shareholders’ meetings may be convened by a majority of our board of. Advance notice of at least ten calendar days is required for the convening of our annual general meeting and any other general meeting of our shareholders.</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quorum required for a meeting of shareholders consists of at least one shareholder present in person or by proxy, or, if a corporation or other non-natural person, by its duly authorized representative, representing not less than one-third of all votes attaching to the total issued voting shares in our company entitled to vote at the meeting, except that for variation of rights of shares, the necessary quorum shall be one person holding or representing by proxy at least half of the issued shares of the class.</w:t>
      </w:r>
    </w:p>
    <w:p>
      <w:pPr>
        <w:spacing w:after="0" w:line="187"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seventh amended and restated memorandum and articles of association provide that upon the requisition of any one or more of our shareholders who together hold shares which carry in aggregate not less than 10 per cent of all votes attaching to the issued and outstanding shares of our company entitled to vote at general meetings, our board will convene an extraordinary general meeting and put the resolutions so requisitioned to a vote at such meeting. However, our seventh amended and restated memorandum and articles of association do not provide our shareholders with any right to put any proposals before annual general meetings or extraordinary general meetings not called by such shareholders.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Subject to any applicable restrictions set forth in our seventh amended and restated articles of association, any of our shareholders may transfer all or any of his or her shares by an instrument of transfer in the usual or common form or in a form that our directors may approve.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directors may, in its absolute discretion, decline to register any transfer of any share which is not paid up or on which we have a lien.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directors may also decline to register any transfer of any share unless:</w:t>
      </w:r>
    </w:p>
    <w:p>
      <w:pPr>
        <w:spacing w:after="0" w:line="238" w:lineRule="exact"/>
        <w:rPr>
          <w:sz w:val="20"/>
          <w:szCs w:val="20"/>
          <w:color w:val="auto"/>
        </w:rPr>
      </w:pPr>
    </w:p>
    <w:p>
      <w:pPr>
        <w:ind w:left="1420" w:right="440" w:hanging="319"/>
        <w:spacing w:after="0" w:line="308" w:lineRule="auto"/>
        <w:tabs>
          <w:tab w:leader="none" w:pos="1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 xml:space="preserve">Subject to any future shares which are issued with specific rights, (i) if we are wound up and the assets available for distribution among our shareholders are more than sufficient to repay the whole of the capital paid up at the commencement of the winding up, the excess shall be distributed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among those shareholders in proportion to the amount paid up at the commencement of the winding up on the shares held by them,</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subject to a deduction from those shares in respect of which there are monies due, of all monies payable to our company for unpaid calls or otherwise and (ii)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7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consideration received by each holder of a Class A ordinary share and a holder of a Class B ordinary share will be the same in any liquidation event.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25"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Subject to our seventh amended and restated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all or any of the rights attached to any class of shares may, subject to any rights or restrictions for the time being attached to any class, be varied with the consent in writing of the holders of 80 per cent of the issued shares of that class, or with the sanction of a special resolution passed at a separate meeting of the holders of the shares of that class. Consequently, the rights of any class of shares cannot be detrimentally altered without approval of at least two-thirds of the votes cast at a separate meeting of the holders of the shares in that class.</w:t>
      </w:r>
    </w:p>
    <w:p>
      <w:pPr>
        <w:spacing w:after="0" w:line="188"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subordinate with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Shares, Repurchase and Surrender of Ordinary Shares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are empowered by the Companies Act and our seventh amended and restated articles of association to purchase our own shares, subject to certain restrictions. We may issue shares on terms that are subject to redemption, at our option or at the option of the holders, on such terms and in such manner as may be determined by our board of directors.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9" w:right="49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may also repurchase any of our shares on such terms and in such manner as have been approved by our board of directors.</w:t>
      </w:r>
    </w:p>
    <w:p>
      <w:pPr>
        <w:spacing w:after="0" w:line="23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Our seventh amended and restated memorandum and articles of association authorize our board of directors to issue additional ordinary shares from time to time as our board of directors shall determine, to the extent of available authorized but unissued shares.</w:t>
      </w:r>
    </w:p>
    <w:p>
      <w:pPr>
        <w:spacing w:after="0" w:line="146"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Our seventh amended and restated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211" w:lineRule="exact"/>
        <w:rPr>
          <w:sz w:val="20"/>
          <w:szCs w:val="20"/>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Some provisions of our seventh amended and restated memorandum and articles of association may discourage, delay or prevent a change of control of our company or management that shareholders may consider favorable, including provisions that (i) authorize our board of directors to issue preference shares in one or more series and to designate the price, rights, preferences, privileges and restrictions of such preference shares without any further vote or action by our shareholders and (ii) limit the ability of shareholders to requisition and convene general meetings of shareholders.</w:t>
      </w:r>
    </w:p>
    <w:p>
      <w:pPr>
        <w:spacing w:after="0" w:line="157"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seventh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Capital</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We may from time to time by ordinary resolution in accordance with the Companies Act alter the conditions of our amended and restated memorandum of association to:</w:t>
      </w:r>
    </w:p>
    <w:p>
      <w:pPr>
        <w:spacing w:after="0" w:line="197" w:lineRule="exact"/>
        <w:rPr>
          <w:sz w:val="20"/>
          <w:szCs w:val="20"/>
          <w:color w:val="auto"/>
        </w:rPr>
      </w:pPr>
    </w:p>
    <w:p>
      <w:pPr>
        <w:ind w:left="5480" w:right="1860" w:hanging="4379"/>
        <w:spacing w:after="0" w:line="449" w:lineRule="auto"/>
        <w:tabs>
          <w:tab w:leader="none" w:pos="14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 our capital by such sum, to be divided into shares of such amounts, as the resolution shall prescribe; 205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amounts than our existing shares;</w:t>
      </w:r>
    </w:p>
    <w:p>
      <w:pPr>
        <w:spacing w:after="0" w:line="252" w:lineRule="exact"/>
        <w:rPr>
          <w:rFonts w:ascii="Arial" w:cs="Arial" w:eastAsia="Arial" w:hAnsi="Arial"/>
          <w:sz w:val="18"/>
          <w:szCs w:val="18"/>
          <w:color w:val="auto"/>
        </w:rPr>
      </w:pPr>
    </w:p>
    <w:p>
      <w:pPr>
        <w:jc w:val="both"/>
        <w:ind w:left="1420" w:right="440" w:hanging="319"/>
        <w:spacing w:after="0" w:line="342" w:lineRule="auto"/>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50" w:lineRule="exact"/>
        <w:rPr>
          <w:rFonts w:ascii="Arial" w:cs="Arial" w:eastAsia="Arial" w:hAnsi="Arial"/>
          <w:sz w:val="16"/>
          <w:szCs w:val="16"/>
          <w:color w:val="auto"/>
        </w:rPr>
      </w:pPr>
    </w:p>
    <w:p>
      <w:pPr>
        <w:ind w:left="14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sub-divide our shares or any of them into shares of smaller amount than is fixed by our seventh amended and restated memorandum of association or into shares without nominal or par value, subject nevertheless to the Companies Act; and</w:t>
      </w:r>
    </w:p>
    <w:p>
      <w:pPr>
        <w:spacing w:after="0" w:line="197"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6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may, by special resolution, subject to any confirmation or consent required by the Companies Act, reduce our share capital or any capital redemption reserve in any manner authorized by law.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There are no limitations imposed by our seventh amended and restated memorandum and articles of association on the rights of non-resident or foreign shareholders to hold or exercise voting rights on our shares.</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addition, there are no provisions in our seventh amended and restated memorandum and articles of association governing the ownership threshold above which shareholder ownership must be disclosed.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Holders of our ordinary shares have no general right under Cayman Islands law to inspect or obtain copies of our list of shareholders or our corporate records (other than our memorandum and articles of association, our register of mortgages and charge, and any special resolution passed by our shareholders). However, we will provide our shareholders with annual audited financial statements. See “Where You Can Find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Under the Companies Act, we must keep a register of members and there should be entered therein:</w:t>
      </w:r>
    </w:p>
    <w:p>
      <w:pPr>
        <w:spacing w:after="0" w:line="252" w:lineRule="exact"/>
        <w:rPr>
          <w:sz w:val="20"/>
          <w:szCs w:val="20"/>
          <w:color w:val="auto"/>
        </w:rPr>
      </w:pPr>
    </w:p>
    <w:p>
      <w:pPr>
        <w:ind w:left="1420" w:right="100" w:hanging="319"/>
        <w:spacing w:after="0" w:line="259"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(including the amount paid or agreed to be considered as paid on the shares of each member, and confirmation of whether each relevant category of shares held by each member carries voting rights under the memorandum and articles of association of the company and if so, whether such voting rights are conditional);</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214" w:lineRule="exact"/>
        <w:rPr>
          <w:sz w:val="20"/>
          <w:szCs w:val="20"/>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left="120" w:right="520" w:firstLine="881"/>
        <w:spacing w:after="0" w:line="342" w:lineRule="auto"/>
        <w:rPr>
          <w:sz w:val="20"/>
          <w:szCs w:val="20"/>
          <w:color w:val="auto"/>
        </w:rPr>
      </w:pPr>
      <w:r>
        <w:rPr>
          <w:rFonts w:ascii="Arial" w:cs="Arial" w:eastAsia="Arial" w:hAnsi="Arial"/>
          <w:sz w:val="16"/>
          <w:szCs w:val="16"/>
          <w:color w:val="auto"/>
        </w:rPr>
        <w:t>The Companies Act is derived, to a large extent, from the older Companies Acts of England but does not follow recent U.K. statutory enactments, and accordingly there are significant differences between the Companies Act and the current Companies Act of England.</w:t>
      </w:r>
    </w:p>
    <w:p>
      <w:pPr>
        <w:spacing w:after="0" w:line="124"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State of Delaware.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Companies Act permits mergers and consolidations between Cayman Islands companies and between Cayman Islands companies and non-Cayman Islands companies. For these purposes, (i) “merger” means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merging of two or more constituent companies and the vesting of their undertaking, property and liabilities in one of such companies as the surviving company and (ii) a “consolidation” means the combination of two or more constituent companies into a combined company and the vesting of the undertaking, property and liabilities of such companies to the consolidated company.</w:t>
      </w:r>
    </w:p>
    <w:p>
      <w:pPr>
        <w:spacing w:after="0" w:line="184"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1"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204"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7" w:lineRule="exact"/>
        <w:rPr>
          <w:rFonts w:ascii="Arial" w:cs="Arial" w:eastAsia="Arial" w:hAnsi="Arial"/>
          <w:sz w:val="18"/>
          <w:szCs w:val="18"/>
          <w:color w:val="auto"/>
        </w:rPr>
      </w:pPr>
    </w:p>
    <w:p>
      <w:pPr>
        <w:ind w:left="1420" w:right="62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auto"/>
        </w:rPr>
        <w:t>Foss v. Harbottle</w:t>
      </w:r>
      <w:r>
        <w:rPr>
          <w:rFonts w:ascii="Arial" w:cs="Arial" w:eastAsia="Arial" w:hAnsi="Arial"/>
          <w:sz w:val="18"/>
          <w:szCs w:val="18"/>
          <w:color w:val="auto"/>
        </w:rPr>
        <w:t xml:space="preserve"> and the exceptions thereto) so that a non-controlling shareholder may be permitted to commence a class action against or derivative actions in the name of our company to challenge actions where:</w:t>
      </w:r>
    </w:p>
    <w:p>
      <w:pPr>
        <w:spacing w:after="0" w:line="215" w:lineRule="exact"/>
        <w:rPr>
          <w:sz w:val="20"/>
          <w:szCs w:val="20"/>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225"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seventh amended and restated memorandum and articles of association provide that each of our directors shall be indemnified against all actions, proceedings, costs, charges, expenses, losses, damages or liabilities incurred or sustained by such director, other than by reason of such director’s own dishonesty, willful default or fraud, in or about the conduct of our company’s business or affairs (including as a result of any mistake of judgment) or in the execution or discharge of his duties, powers, authorities or discretions, including any costs, expenses, losses or liabilities incurred by such director in defending (whether successfully or otherwise) any civil proceedings concerning our company or our affairs in any court whether in the Cayman Islands or elsewhere. This standard of conduct is generally the same as permitted under the Delaware General Corporation Law for a Delaware corporation.</w:t>
      </w:r>
    </w:p>
    <w:p>
      <w:pPr>
        <w:spacing w:after="0" w:line="195" w:lineRule="exact"/>
        <w:rPr>
          <w:sz w:val="20"/>
          <w:szCs w:val="20"/>
          <w:color w:val="auto"/>
        </w:rPr>
      </w:pPr>
    </w:p>
    <w:p>
      <w:pPr>
        <w:ind w:left="120" w:right="540" w:firstLine="881"/>
        <w:spacing w:after="0" w:line="308" w:lineRule="auto"/>
        <w:rPr>
          <w:sz w:val="20"/>
          <w:szCs w:val="20"/>
          <w:color w:val="auto"/>
        </w:rPr>
      </w:pPr>
      <w:r>
        <w:rPr>
          <w:rFonts w:ascii="Arial" w:cs="Arial" w:eastAsia="Arial" w:hAnsi="Arial"/>
          <w:sz w:val="17"/>
          <w:szCs w:val="17"/>
          <w:color w:val="auto"/>
        </w:rPr>
        <w:t>In addition, we are entering into indemnification agreements with our directors and executive officers that provide such persons with additional indemnification beyond that provided in our seventh amended and restated memorandum and articles of association.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97"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duty to act in good faith in the best interests of the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duty not to make a personal profit based on his or her position as director (unless the company permits him or her to do so),</w:t>
      </w:r>
    </w:p>
    <w:p>
      <w:pPr>
        <w:spacing w:after="0" w:line="263" w:lineRule="exact"/>
        <w:rPr>
          <w:rFonts w:ascii="Arial" w:cs="Arial" w:eastAsia="Arial" w:hAnsi="Arial"/>
          <w:sz w:val="17"/>
          <w:szCs w:val="17"/>
          <w:color w:val="auto"/>
        </w:rPr>
      </w:pPr>
    </w:p>
    <w:p>
      <w:pPr>
        <w:ind w:left="1420" w:right="12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duty not to put himself or herself in a position where the interests of the company conflict with his or her personal interest or his or her duty to a third party,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duty to exercise powers for the purpose for which such powers were intended.</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180" w:firstLine="881"/>
        <w:spacing w:after="0" w:line="308" w:lineRule="auto"/>
        <w:rPr>
          <w:sz w:val="20"/>
          <w:szCs w:val="20"/>
          <w:color w:val="auto"/>
        </w:rPr>
      </w:pPr>
      <w:r>
        <w:rPr>
          <w:rFonts w:ascii="Arial" w:cs="Arial" w:eastAsia="Arial" w:hAnsi="Arial"/>
          <w:sz w:val="17"/>
          <w:szCs w:val="17"/>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spacing w:after="0" w:line="14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Under our seventh amended and restated memorandum and articles of association, directors may be removed with or without cause, by an ordinary resolution of our shareholders. A director will also cease to be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director if, among others, he or she (i) becomes bankrupt or makes any arrangement or composition with his creditors; (ii) dies or is found to be or becomes of unsound mind; (iii) resigns his or her office by notice in writing; (iv) without special leave of absence from our board of directors, is absent from three consecutive meetings of the board and the board resolves that his office be vacated, or (v) is removed from office pursuant to any other provision of our amended and restated articles of association.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225"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w:t>
      </w:r>
    </w:p>
    <w:p>
      <w:pPr>
        <w:spacing w:after="0" w:line="170"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Cayman Islands law and our seventh amended and restated articles of association provide that shareholders may approve corporate matters and adopt both the ordinary resolutions and the special resolutions by way of unanimous written resolutions signed by all of the shareholders of our company who would have been entitled to vote on such matter at a general meeting without a meeting being held.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left="120" w:right="260" w:firstLine="881"/>
        <w:spacing w:after="0" w:line="311" w:lineRule="auto"/>
        <w:rPr>
          <w:sz w:val="20"/>
          <w:szCs w:val="20"/>
          <w:color w:val="auto"/>
        </w:rPr>
      </w:pPr>
      <w:r>
        <w:rPr>
          <w:rFonts w:ascii="Arial" w:cs="Arial" w:eastAsia="Arial" w:hAnsi="Arial"/>
          <w:sz w:val="16"/>
          <w:szCs w:val="16"/>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jc w:val="both"/>
        <w:ind w:left="120" w:right="220" w:firstLine="881"/>
        <w:spacing w:after="0" w:line="31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4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Any one or more shareholders holding not less than 10%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 However, our seventh amended and restated memorandum and articles of association do not provide our shareholders with any right to put any proposals before any meetings of shareholders not called by such shareholders. Other than this right to requisition a shareholders’ meeting, our seventh amended and restated memorandum and articles of association do not provide our shareholders with any other right to put proposals before annual general meetings or extraordinary general meetings.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7" w:lineRule="exact"/>
        <w:rPr>
          <w:sz w:val="20"/>
          <w:szCs w:val="20"/>
          <w:color w:val="auto"/>
        </w:rPr>
      </w:pPr>
    </w:p>
    <w:p>
      <w:pPr>
        <w:jc w:val="both"/>
        <w:ind w:left="120" w:right="400" w:firstLine="881"/>
        <w:spacing w:after="0" w:line="263" w:lineRule="auto"/>
        <w:rPr>
          <w:sz w:val="20"/>
          <w:szCs w:val="20"/>
          <w:color w:val="auto"/>
        </w:rPr>
      </w:pPr>
      <w:r>
        <w:rPr>
          <w:rFonts w:ascii="Arial" w:cs="Arial" w:eastAsia="Arial" w:hAnsi="Arial"/>
          <w:sz w:val="18"/>
          <w:szCs w:val="18"/>
          <w:color w:val="auto"/>
        </w:rPr>
        <w:t>There are no prohibitions in relation to cumulative voting under the laws of the Cayman Islands but our seventh amended and restated memorandum and articles of association do not provide for cumulative voting. As a result, our shareholders are not afforded any less protections or rights on this issue than shareholders of a Delaware corporation.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8" w:lineRule="exact"/>
        <w:rPr>
          <w:sz w:val="20"/>
          <w:szCs w:val="20"/>
          <w:color w:val="auto"/>
        </w:rPr>
      </w:pPr>
    </w:p>
    <w:p>
      <w:pPr>
        <w:jc w:val="both"/>
        <w:ind w:left="120" w:right="400" w:firstLine="881"/>
        <w:spacing w:after="0" w:line="257" w:lineRule="auto"/>
        <w:rPr>
          <w:sz w:val="20"/>
          <w:szCs w:val="20"/>
          <w:color w:val="auto"/>
        </w:rPr>
      </w:pPr>
      <w:r>
        <w:rPr>
          <w:rFonts w:ascii="Arial" w:cs="Arial" w:eastAsia="Arial" w:hAnsi="Arial"/>
          <w:sz w:val="18"/>
          <w:szCs w:val="18"/>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 the best interests of the company and for a proper purpose and not with the effect of constituting a fraud on the minority shareholders.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Winding Up</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seventh amended and restated articles of association, if our share capital is divided into more than one class of shares, we may vary the rights attached to any class with the consent in writing of the holders of 80 per cent of the issued shares of that class, or with sanction of a special resolution passed by two-thirds of the votes cast at a separate meeting of the holders of the shares of that class.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Under the Cayman Islands law, our seventh amended and restated memorandum and articles of association may only be amended with a special resolution of our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There are no limitations imposed by our seventh amended and restated memorandum and articles of association on the rights of non-resident or foreign shareholders to hold or exercise voting rights on our shares.</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addition, there are no provisions in our seventh amended and restated memorandum and articles of association governing the ownership threshold above which shareholder ownership must be disclosed.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Holders of our shares will have no general right under Cayman Islands law to inspect or obtain copies of our list of shareholders or our corporate records (other than copies of our memorandum and articles of association, our register of mortgages and charge, and any special resolution passed by our shareholders). However, we intend to provide our shareholders with annual reports containing audited financial statements. See “Where You Can Find Additional Information.”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229" w:lineRule="exact"/>
        <w:rPr>
          <w:sz w:val="20"/>
          <w:szCs w:val="20"/>
          <w:color w:val="auto"/>
        </w:rPr>
      </w:pPr>
    </w:p>
    <w:p>
      <w:pPr>
        <w:ind w:left="120" w:right="480" w:firstLine="881"/>
        <w:spacing w:after="0" w:line="342" w:lineRule="auto"/>
        <w:rPr>
          <w:sz w:val="20"/>
          <w:szCs w:val="20"/>
          <w:color w:val="auto"/>
        </w:rPr>
      </w:pPr>
      <w:r>
        <w:rPr>
          <w:rFonts w:ascii="Arial" w:cs="Arial" w:eastAsia="Arial" w:hAnsi="Arial"/>
          <w:sz w:val="16"/>
          <w:szCs w:val="16"/>
          <w:color w:val="auto"/>
        </w:rPr>
        <w:t>The following is a summary of our securities issuances during the past three years since January 1, 2019. Unless otherwise stated, this summary has been given effect to the 1-for-500 Share Consolidation of our ordinary shares which was approved and effected in July 2022:</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July 26, 2021, we issued an aggregate of 1,587,086 ordinary shares to certain of our directors pursuant to our 2017 Plan.</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On February 24, 2022, pursuant to the 2008 Plan and 2017 Plan, we issued an aggregate of 4,792,641 ordinary shares to the Trust Holdcos and another participant of the 2017 Plan. Such shares represents the shares issued upon exercise of options to purchase an aggregate of 4,581,743 ordinary shares and the vesting of an aggregate of 210,898 restricted shares, which we granted to the participants of the 2008 Plan and 2017 Plan. See “Management—Share Incentive Plans.”</w:t>
      </w:r>
    </w:p>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Immediately prior to the completion of this offering, all of our issued and outstanding ordinary shares will be re-designated as an aggregate of 8,119,882 Class A ordinary shares and 7,755,689 Class B ordinary shares on a one-for-one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In November 2020, we issued an aggregate of 3,999,709 series E preferred shares at par value of $0.05 each, to two investors for an aggregate consideration of $25.0 million, or $6.25 per share.</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Immediately prior to the completion of this offering, all of our issued and outstanding preferred shares will automatically convert into our ordinary shares and be re-designated as an aggregate of 19,856,932 Class A ordinary shares and 1,571,043 Class B ordinary shares on a one-for-one basis.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 and Restricted Shares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“Management—Share Incentive Plans.”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left="120" w:right="320" w:firstLine="881"/>
        <w:spacing w:after="0" w:line="275" w:lineRule="auto"/>
        <w:rPr>
          <w:sz w:val="20"/>
          <w:szCs w:val="20"/>
          <w:color w:val="auto"/>
        </w:rPr>
      </w:pPr>
      <w:r>
        <w:rPr>
          <w:rFonts w:ascii="Arial" w:cs="Arial" w:eastAsia="Arial" w:hAnsi="Arial"/>
          <w:sz w:val="17"/>
          <w:szCs w:val="17"/>
          <w:color w:val="auto"/>
        </w:rPr>
        <w:t>We entered into our fifth amended and restated shareholders agreement on February 28, 2021, or the shareholders agreement, with our shareholders, which consist of holders of ordinary shares and preferred shares. The shareholders agreement provides for certain shareholders’ rights, including, among others, information rights, preemptive rights, right of first refusal, co-sale rights and drag-along rights, and contains provisions governing our board of directors and other corporate governance matters. The rights and obligations of each shareholder under the shareholders agreement will automatically terminate upon the completion of this offering.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We have granted certain registration rights to our shareholders. Set forth below is a description of the registration rights granted under the shareholders agreement.</w:t>
      </w:r>
    </w:p>
    <w:p>
      <w:pPr>
        <w:spacing w:after="0" w:line="170" w:lineRule="exact"/>
        <w:rPr>
          <w:sz w:val="20"/>
          <w:szCs w:val="20"/>
          <w:color w:val="auto"/>
        </w:rPr>
      </w:pPr>
    </w:p>
    <w:p>
      <w:pPr>
        <w:jc w:val="both"/>
        <w:ind w:left="120" w:right="680" w:firstLine="881"/>
        <w:spacing w:after="0" w:line="311"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At any time after the earlier of (i) the three years from February 28, 2021 or six months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 holders of at least 15% of the registrable securities then outstanding may, by written notice, request that we effect a registration of all or any portion of the registrable securities that the holders request to be registered and included in such registration.</w:t>
      </w:r>
    </w:p>
    <w:p>
      <w:pPr>
        <w:spacing w:after="0" w:line="14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However, we are not obligated to effect a demand registration (i) during the period beginning 30 days prior to the filing and ending on a date 90 days following the effective date of the registration statement in connection with this offering, subject to certain conditions, (ii) if the filing of such a registration statement would require the disclosure of material non-public information about us, in which event no such registration statement need be filed until the earlier of the lapse of sixty (60) days from the issuance of the opinion of counsel or such time as the information is no longer required to be disclosed, is not material or non-public, or its disclosure would not have a material adverse effect on our business or financial condition, provided that, we may not exercise this right more than once in any 12-month period, or (iii) unless the aggregate offering price of the securities requested to be sold pursuant to such registration is, in the good faith judgment of our board of directors, expected to be equal to or greater than $5,000,000.</w:t>
      </w:r>
    </w:p>
    <w:p>
      <w:pPr>
        <w:spacing w:after="0" w:line="166"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In addition, no request of demand registration may be made within 180 days after the effective date of a registration statement filed by us covering a firm commitment underwritten public offering in which the holders of registrable securities shall have been entitled to join and in which there shall have been effectively registered all registrable securities as to which registration shall have been so requested.</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not obligated to effect more than three demand registrations, subject to certain conditions.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Further, if the registrable securities are offered by means of an underwritten offering and the managing underwriter advises us that marketing factors require a limitation of the number of securities to be underwritten, the number of such registrable securities may be reduced as required by the underwriters and the number of the registrable securities will be allocated among the holders on a pro rata basis according to the number of registrable securities then outstanding held by each holder requesting registration, provided that in no event may any registrable securities be excluded from such underwriting unless all other securities are first excluded.</w:t>
      </w:r>
    </w:p>
    <w:p>
      <w:pPr>
        <w:spacing w:after="0" w:line="188" w:lineRule="exact"/>
        <w:rPr>
          <w:sz w:val="20"/>
          <w:szCs w:val="20"/>
          <w:color w:val="auto"/>
        </w:rPr>
      </w:pPr>
    </w:p>
    <w:p>
      <w:pPr>
        <w:jc w:val="both"/>
        <w:ind w:left="120" w:right="80" w:firstLine="881"/>
        <w:spacing w:after="0" w:line="301" w:lineRule="auto"/>
        <w:rPr>
          <w:sz w:val="20"/>
          <w:szCs w:val="20"/>
          <w:color w:val="auto"/>
        </w:rPr>
      </w:pPr>
      <w:r>
        <w:rPr>
          <w:rFonts w:ascii="Arial" w:cs="Arial" w:eastAsia="Arial" w:hAnsi="Arial"/>
          <w:sz w:val="16"/>
          <w:szCs w:val="16"/>
          <w:i w:val="1"/>
          <w:iCs w:val="1"/>
          <w:color w:val="auto"/>
        </w:rPr>
        <w:t xml:space="preserve">Registration on Form F-3. </w:t>
      </w:r>
      <w:r>
        <w:rPr>
          <w:rFonts w:ascii="Arial" w:cs="Arial" w:eastAsia="Arial" w:hAnsi="Arial"/>
          <w:sz w:val="16"/>
          <w:szCs w:val="16"/>
          <w:color w:val="auto"/>
        </w:rPr>
        <w:t>Holders of registrable securities then outstanding have the right to request that we effect registration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F-3. We, however, are not obligated to effect such registration if, among other things, Unless either (i) a majority of the outstanding registrable securities are requested to be sold pursuant to such registration or (ii) the aggregate offering price of the securities requested to be sold pursuant to such registration is, in the good faith judgment of our board of directors, expected to be equal to or greater than $2,000,000.</w:t>
      </w:r>
    </w:p>
    <w:p>
      <w:pPr>
        <w:spacing w:after="0" w:line="157" w:lineRule="exact"/>
        <w:rPr>
          <w:sz w:val="20"/>
          <w:szCs w:val="20"/>
          <w:color w:val="auto"/>
        </w:rPr>
      </w:pPr>
    </w:p>
    <w:p>
      <w:pPr>
        <w:jc w:val="both"/>
        <w:ind w:left="120" w:right="100" w:firstLine="881"/>
        <w:spacing w:after="0" w:line="277"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file a registration statement for a public offering of our securities other than relating to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plan or a corporate reorganization, we must offer holders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registrable securities an opportunity to include in the registration all or any part of their registrable securities. If the registrable securities are offered by means of an underwritten offering and the managing underwriter advises us that marketing factors require a limitation of the number of securities to be underwritten, the number of such registrable securities may be reduced, subject to certain conditions, as required by the underwriters and the number of the registrable securities will be allocated among the holders on a pro rata basis according to the number of registrable securities then outstanding held by each holder requesting registration.</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Limitation on Subsequent Registration Rights. </w:t>
      </w:r>
      <w:r>
        <w:rPr>
          <w:rFonts w:ascii="Arial" w:cs="Arial" w:eastAsia="Arial" w:hAnsi="Arial"/>
          <w:sz w:val="17"/>
          <w:szCs w:val="17"/>
          <w:color w:val="auto"/>
        </w:rPr>
        <w:t>Except as provided in the shareholders agreement, we will not grant to any person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request us to register any ordinary shares, or any securities convertible or exchangeable into or exercisable for ordinary shares, (i) which are superior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rights granted to the holders of our preferred shares, (ii) unless under the terms of such agreement such holder or prospective holder may include such ordinary shares in any registration only to the extent that the inclusions of such ordinary shares will not reduce the amount of the registrable securities of the holders of our preferred shares that are included; or (iii) that would cause us the right to include such ordinary shares, or any securities convertible or exchangeable into or exercisable for ordinary shares, in any registration on a basis more favorable to such holder or prospective holder than is provided to the holders of our preferred shares thereunder, in each case without the prior written consent of holders of at least seventy-five percent (75%) of the total issued and outstanding preferred shares.</w:t>
      </w:r>
    </w:p>
    <w:p>
      <w:pPr>
        <w:spacing w:after="0" w:line="178" w:lineRule="exact"/>
        <w:rPr>
          <w:sz w:val="20"/>
          <w:szCs w:val="20"/>
          <w:color w:val="auto"/>
        </w:rPr>
      </w:pPr>
    </w:p>
    <w:p>
      <w:pPr>
        <w:ind w:left="120" w:right="340" w:firstLine="881"/>
        <w:spacing w:after="0" w:line="279" w:lineRule="auto"/>
        <w:rPr>
          <w:sz w:val="20"/>
          <w:szCs w:val="20"/>
          <w:color w:val="auto"/>
        </w:rPr>
      </w:pPr>
      <w:r>
        <w:rPr>
          <w:rFonts w:ascii="Arial" w:cs="Arial" w:eastAsia="Arial" w:hAnsi="Arial"/>
          <w:sz w:val="17"/>
          <w:szCs w:val="17"/>
          <w:i w:val="1"/>
          <w:iCs w:val="1"/>
          <w:color w:val="auto"/>
        </w:rPr>
        <w:t xml:space="preserve">Expenses of Registration. </w:t>
      </w:r>
      <w:r>
        <w:rPr>
          <w:rFonts w:ascii="Arial" w:cs="Arial" w:eastAsia="Arial" w:hAnsi="Arial"/>
          <w:sz w:val="17"/>
          <w:szCs w:val="17"/>
          <w:color w:val="auto"/>
        </w:rPr>
        <w:t>We will bear all registration expenses, other than underwriting discounts and selling commissions incurred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demand, piggyback or Form F-3 registration, except each holder that exercised its demand, Form F-3 or piggyback registration rights will bear such holder’s proportionate share (based on the total number of shares sold in such registration other than for our account) of all underwriting discounts and selling commissions or other amounts payable to underwriters or brokers.</w:t>
      </w:r>
    </w:p>
    <w:p>
      <w:pPr>
        <w:spacing w:after="0" w:line="17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i w:val="1"/>
          <w:iCs w:val="1"/>
          <w:color w:val="auto"/>
        </w:rPr>
        <w:t xml:space="preserve">Termination of Obligations. </w:t>
      </w:r>
      <w:r>
        <w:rPr>
          <w:rFonts w:ascii="Arial" w:cs="Arial" w:eastAsia="Arial" w:hAnsi="Arial"/>
          <w:sz w:val="18"/>
          <w:szCs w:val="18"/>
          <w:color w:val="auto"/>
        </w:rPr>
        <w:t>We have no obligation to effect any demand, Form F-3 or piggyback registration on the fifth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completion of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 Warrants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material terms and provisions of the underwriter’s warrants, see “Underwriting—Underwriter Warrants.”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Upon completion of this offering, assuming no exercise by the underwriter of the over-allotment option to purchase additional Class A ordinary shares, we will have 40,243,546 outstanding ordinary shares, including 2,940,000 Class A ordinary shares offered in this offering. All of the Class A ordinary shares sold in this offering will be freely transferable by persons other than our “affiliates” (as that term is defined in Rule 144 under the Securities Act) without restriction or further registration under the Securities Act. Sales of substantial amounts of our Class A ordinary shares in the public market could materially adversely affect prevailing market prices of the Class A ordinary shares.</w:t>
      </w:r>
    </w:p>
    <w:p>
      <w:pPr>
        <w:spacing w:after="0" w:line="176"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Prior to this offering, there has been no public market for our ordinary shares. Our Class A ordinary shares offered in this offering have been approved for listing on the Nasdaq. However, we cannot assure you that a regular trading market will develop in our Class A ordinary shares.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have agreed, for a period of 180 days after the date of this prospectus, subject to certain exceptions, not to offer, sell, contract to sell, pledge, grant any option or contract to purchase, make any short sale, lend or otherwise dispose of, except in this offering, any of our ordinary shares or securities that are substantially similar to our ordinary shares, including but not limited to any options or warrants to purchase our ordinary shares or any securities that are convertible into or exchangeable for, or that represent the right to receive, our ordinary shares or any such substantially similar securities (other than pursuant to employee equity incentive plans existing on, or upon the conversion or exchange of convertible or exchangeable securities outstanding as of, the date such lock-up agreement was executed), without the prior written consent of the underwriter.</w:t>
      </w:r>
    </w:p>
    <w:p>
      <w:pPr>
        <w:spacing w:after="0" w:line="164"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Furthermore, our directors, executive officers and all existing holders of our outstanding ordinary shares have also entered into a similar lock-up agreement for a period of 180 days from the date of this prospectus, subject to certain exceptions, with respect to our ordinary shares and securities that are substantially similar to our ordinary shares. See “Underwriting.”</w:t>
      </w:r>
    </w:p>
    <w:p>
      <w:pPr>
        <w:spacing w:after="0" w:line="184" w:lineRule="exact"/>
        <w:rPr>
          <w:sz w:val="20"/>
          <w:szCs w:val="20"/>
          <w:color w:val="auto"/>
        </w:rPr>
      </w:pPr>
    </w:p>
    <w:p>
      <w:pPr>
        <w:jc w:val="both"/>
        <w:ind w:left="120" w:right="180" w:firstLine="881"/>
        <w:spacing w:after="0" w:line="286" w:lineRule="auto"/>
        <w:rPr>
          <w:sz w:val="20"/>
          <w:szCs w:val="20"/>
          <w:color w:val="auto"/>
        </w:rPr>
      </w:pPr>
      <w:r>
        <w:rPr>
          <w:rFonts w:ascii="Arial" w:cs="Arial" w:eastAsia="Arial" w:hAnsi="Arial"/>
          <w:sz w:val="17"/>
          <w:szCs w:val="17"/>
          <w:color w:val="auto"/>
        </w:rPr>
        <w:t>We cannot predict what effect, if any, future sales of our ordinary shares, or the availability of ordinary shares for future sale, will have on the trading price of our Class A ordinary shares from time to time. Sales of substantial amounts of our Class A ordinary shares in the public market, or the perception that these sales could occur, could adversely affect the trading price of our Class A ordinary shares.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U.S. only if they are subject to an effective registration statement under the Securities Act or pursuant to an exemption from the registration requirement such as those provided by Rule 144 and Rule 701 promulgated under the Securities Act.</w:t>
      </w:r>
    </w:p>
    <w:p>
      <w:pPr>
        <w:spacing w:after="0" w:line="187"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six months may sell within any three-month period a number of restricted securities that does not exceed the greater of the following:</w:t>
      </w:r>
    </w:p>
    <w:p>
      <w:pPr>
        <w:spacing w:after="0" w:line="252" w:lineRule="exact"/>
        <w:rPr>
          <w:sz w:val="20"/>
          <w:szCs w:val="20"/>
          <w:color w:val="auto"/>
        </w:rPr>
      </w:pPr>
    </w:p>
    <w:p>
      <w:pPr>
        <w:ind w:left="1420" w:right="220" w:hanging="319"/>
        <w:spacing w:after="0" w:line="259"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 of the then issued and outstanding ordinary shares of the same class, which will equal approximately 309,168 Class A ordinary shares immediately after this offering, assuming the underwriter does not exercise the over-allotment option to purchase additional Class A ordinary shares, (or 313,578 Class A ordinary shares if the underwriter exercises the over-allotment option to purchase additional Class A ordinary shares in full); and</w:t>
      </w:r>
    </w:p>
    <w:p>
      <w:pPr>
        <w:spacing w:after="0" w:line="213"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on the Nasdaq during the four calendar weeks preceding the date on which notice of the sale on Form 144 is filed with the SEC.</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Such sales are also subject to manner-of-sale provisions, notice requirements and the availability of current public information about us.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Beginning 90 days after the date of this prospectus, persons other than affiliates who purchased ordinary shares under a written compensatory plan or other written agreement executed prior to the completion of this offering may be entitled to sell such shares in the U.S. in reliance on Rule 701 under the Securities Act, or Rule 701. Rule 701 permits affiliates to sell their Rule 701 shares under Rule 144 without complying with the holding period requirements of Rule 144.</w:t>
      </w:r>
    </w:p>
    <w:p>
      <w:pPr>
        <w:spacing w:after="0" w:line="187"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Upon the completion of this offering, holders of our registrable securities will be entitled to request that we register their shares under the Securities Act, following the expiration of the lock-up agreements described above. See “Description of Share Capital—Registration Rights.”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covering all Class A ordinary shares which are either subject to outstanding options or may be issued upon exercise of any options or other equity awards which were granted, may be granted or issued in the future pursuant to our share incentive plans. We expect to file this registration statement as soon as practicable after the date of this prospectus. Shares registered under any registration statements will be available for sale in the open market, except to the extent that the shares are subject to vesting restrictions with us or the contractual restrictions described below.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60"/>
          </w:cols>
          <w:pgMar w:left="320" w:top="459" w:right="51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i w:val="1"/>
          <w:iCs w:val="1"/>
          <w:color w:val="auto"/>
        </w:rPr>
        <w:t>The following summary of the material Cayman Islands, PRC, Japanese, U.K. and U.S. federal income tax consequences of an investment in our Class A ordinary shares is based upon laws and relevant interpretations thereof in effect as of the date of this prospectus, all of which are subject to change. This summary does not deal with all possible tax consequences relating to an investment in our Class A ordinary shares, such as the tax consequences under U.S. state and local tax laws and the other tax laws not addressed herein. To the extent that the discussion relates to matters of Cayman Islands tax law, it represents the opinion of Maples and Calder (Hong Kong) LLP, our counsel as to Cayman Islands law, and to the extent it relates to PRC tax law, it represents the opinion of Han Kun Law Offices, our counsel as to PRC law.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left="120" w:right="160" w:firstLine="881"/>
        <w:spacing w:after="0" w:line="259"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our ordinary shares levied by the government of the Cayman Islands except for stamp duties which may be applicable on instruments executed in, or after execution, brought within the jurisdiction of, the Cayman Islands.</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Cayman Islands is not a party to any double tax treaties that are applicable to any payments made to or by our company.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exchange control regulations or currency restrictions in the Cayman Islands.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 Taxation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and Withholding Tax</w:t>
      </w:r>
    </w:p>
    <w:p>
      <w:pPr>
        <w:spacing w:after="0" w:line="225"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In March 2007, the NPC enacted the PRC Enterprise Income Tax Law, which became effective on January 1, 2008 (as last amended in December 2018). The PRC Enterprise Income Tax Law provides that enterprises organized under the laws of jurisdictions outside China with their “de facto management bodies” located within China may be considered PRC resident enterprises and therefore subject to enterprise income tax at the rate of 25% on their worldwide income. The EIT Implementing Rules further defines the term “de facto management body” as the management body that exercises substantial and overall management and control over the business, personnel, accounts and properties of an enterprise.</w:t>
      </w:r>
    </w:p>
    <w:p>
      <w:pPr>
        <w:spacing w:after="0" w:line="161"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deemed to be located in China. Although Circular 82 only applies to offshore enterprises controlled by PRC enterprises or PRC enterprise groups, not offshore enterprises controlled by PRC individuals or foreigners, the criteria set forth in the circular may reflect the SAT’s general position on how the “de facto management body” test should be applied in determining the tax resident status of all offshore enterprises.</w:t>
      </w:r>
    </w:p>
    <w:p>
      <w:pPr>
        <w:spacing w:after="0" w:line="192"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According to Circular 82, an offshore incorporated enterprise controlled by a PRC enterprise or a PRC enterprise group will be regarded as a PRC tax resident by virtue of having its “de facto management body”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China and will be subject to enterprise income tax on its global income only if all of the following conditions are satisfied:</w:t>
      </w:r>
    </w:p>
    <w:p>
      <w:pPr>
        <w:spacing w:after="0" w:line="252" w:lineRule="exact"/>
        <w:rPr>
          <w:sz w:val="20"/>
          <w:szCs w:val="20"/>
          <w:color w:val="auto"/>
        </w:rPr>
      </w:pPr>
    </w:p>
    <w:p>
      <w:pPr>
        <w:ind w:left="1420" w:hanging="319"/>
        <w:spacing w:after="0"/>
        <w:tabs>
          <w:tab w:leader="none" w:pos="14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primary location of the day-to-day operational management and the places where they perform their duties are in the PRC;</w:t>
      </w:r>
    </w:p>
    <w:p>
      <w:pPr>
        <w:spacing w:after="0" w:line="263" w:lineRule="exact"/>
        <w:rPr>
          <w:rFonts w:ascii="Arial" w:cs="Arial" w:eastAsia="Arial" w:hAnsi="Arial"/>
          <w:sz w:val="17"/>
          <w:szCs w:val="17"/>
          <w:color w:val="auto"/>
        </w:rPr>
      </w:pPr>
    </w:p>
    <w:p>
      <w:pPr>
        <w:ind w:left="1420" w:right="8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decisions relating to the enterprise’s financial and human resources matters are made or are subject to the approval of organizations or personnel in the PRC;</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enterprise’s primary assets, accounting books and records, company seals and board and shareholders’ resolutions are located or maintained in the PRC;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50% or more of voting board members or senior executives habitually reside in the PRC.</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Administrative Measures for Enterprise Income Tax of Chinese-Controlled Offshore-Incorporated Resident Enterprises (Trial Version), or Bulletin 45, further clarifies certain issues related to the determination of tax resident status. Bulletin 45 also specifies that when provided with a resident Chinese-controlled, offshore-incorporated enterprise’s copy of its recognition of residential status, a payer does not need to withhold a 10% income tax when paying certain PRC-source income, such as dividends, interest and royalties to such Chinese-controlled offshore-incorporated enterprise.</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believe that GigaCloud Technology Inc and our overseas subsidiaries outside of mainland China are not PRC resident enterprises for PRC tax purposes. GigaCloud Technology Inc and our overseas subsidiaries other than the PRC Subsidiaries are incorporated outside mainland China. As for GigaCloud Technology Inc, which is a holding company, its key assets are its ownership interests in its subsidiaries, and its key assets are located, and its records (including the resolutions of its board of directors and the resolutions of its shareholders) are maintained, outside mainland China. As for our overseas subsidiaries outside of mainland China, their key assets, records and primary locations are outside mainland China. As thus, we do not believe that they meet all of the conditions above.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w:t>
      </w:r>
    </w:p>
    <w:p>
      <w:pPr>
        <w:spacing w:after="0" w:line="178"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If the PRC tax authorities determine that GigaCloud Technology Inc is a “resident enterprise” for enterprise income tax purposes, a number of unfavorable PRC tax consequences could follow. One example is a 10% withholding tax would be imposed on dividends we pay to our non-PRC enterprise shareholders and with respect to gains derived by our non-PRC enterprise shareholders from transferring our shares. Furthermore, dividends payable to individual investors who are non-PRC residents and any gain realized on the transfer of ordinary shares by such investors may be subject to PRC tax at a current rate of 20%. Any PRC tax liability may be subject to reduction or exemption set forth in applicable tax treaties or under applicable tax arrangements between jurisdictions. It is unclear whether, if we are considered a PRC resident enterprise, holders of our shares would be able to claim the benefit of income tax treaties or agreements entered into between China and other countries or areas.</w:t>
      </w:r>
    </w:p>
    <w:p>
      <w:pPr>
        <w:spacing w:after="0" w:line="16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According to the Bulletin on Issues of Enterprise Income Tax on Indirect Transfers of Assets by Non-Tax Resident Enterprises, or SAT Bulletin 7, which was promulgated by the SAT and became effective on February 3, 2015, if a non-resident enterprise transfers the equity interests of a PRC resident enterprise indirectly by transfer of the equity interests of an offshore holding company (other than a purchase and sale of shares issued by a PRC resident enterprise in the public securities market) without a reasonable commercial purpose, PRC tax authorities have the power to reassess the nature of the transaction and the indirect equity transfer may be treated as a direct transfer. As a result, the gain derived from such transfer, which means the equity transfer price less the cost of equity, will be subject to PRC withholding tax at a rate of up to 10%.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Under the terms of SAT Bulletin 7, a transfer which meets all of the following circumstances shall be directly deemed as having no reasonable commercial purposes if:</w:t>
      </w:r>
    </w:p>
    <w:p>
      <w:pPr>
        <w:spacing w:after="0" w:line="197" w:lineRule="exact"/>
        <w:rPr>
          <w:sz w:val="20"/>
          <w:szCs w:val="20"/>
          <w:color w:val="auto"/>
        </w:rPr>
      </w:pPr>
    </w:p>
    <w:p>
      <w:pPr>
        <w:ind w:left="1420" w:right="38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 75% of the value of the equity interests of the offshore holding company are directly or indirectly derived from PRC taxable properties;</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any time during the year before the indirect transfer, over 90% of the total properties of the offshore holding company are investments within PRC territories, or in the year before the indirect transfer, over 90% of the offshore holding company’s revenue is directly or indirectly derived from PRC territories;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function performed and risks assumed by the offshore holding company are insufficient to substantiate its corporate existence; or</w:t>
      </w:r>
    </w:p>
    <w:p>
      <w:pPr>
        <w:spacing w:after="0" w:line="275" w:lineRule="exact"/>
        <w:rPr>
          <w:rFonts w:ascii="Arial" w:cs="Arial" w:eastAsia="Arial" w:hAnsi="Arial"/>
          <w:sz w:val="16"/>
          <w:szCs w:val="16"/>
          <w:color w:val="auto"/>
        </w:rPr>
      </w:pPr>
    </w:p>
    <w:p>
      <w:pPr>
        <w:ind w:left="1420" w:right="24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foreign income tax imposed on the indirect transfer is lower than the PRC tax imposed on the direct transfer of the PRC taxable properties.</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On October 17, 2017, the SAT issued the Announcement of the SAT on Issues Concerning the Withholding of Non-resident Enterprise Income Tax at Source, or SAT Circular 37, which took effect on December 1, 2017. SAT Circular 37 purports to provide further clarifications by setting forth the definitions of equity transfer income and tax basis, the foreign exchange rate to be used in the calculation of the withholding amount and the date on which the withholding obligation arises.</w:t>
      </w:r>
    </w:p>
    <w:p>
      <w:pPr>
        <w:spacing w:after="0" w:line="187"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w:t>
      </w:r>
    </w:p>
    <w:p>
      <w:pPr>
        <w:spacing w:after="0" w:line="184"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There is uncertainty as to the application of SAT Bulletin 7 and SAT Circular 37. SAT Bulletin 7 and SAT Circular 37 may be determined by the PRC tax authorities to be applicable to transfers of our shares that involve non-resident investors, if any of such transactions were determined by the tax authorities to lack a reasonable commercial purpose.</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a result, we and our non-resident investors in such transactions may become at risk of being taxed under SAT Bulletin 7 and SAT Circular 37, and we may be required to comply with SAT Bulletin 7 and SAT Circular 37 or to establish that we should not be taxed under the general anti-avoidance rule of the PRC Enterprise Income Tax Law. This process may be costly and have a material adverse effect on our financial condition and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Value-added Tax</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Under the Circular on Comprehensively Promoting the Pilot Program of the Collection of Value-added Tax to Replace Business Tax, or Circular 36, which was promulgated by the Ministry of Finance and the SAT on March 23, 2016 and became effective on May 1, 2016, entities and individuals engaging in the sale of services, intangible assets or fixed assets within the territory of the PRC are required to pay value-added tax instead of business tax.</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 to the Circular 36, our PRC Subsidiaries are subject to value-added tax, at a rate of 6% on proceeds received from customers and are entitled to a refund for value-added tax already paid or borne on the goods purchased by it and utilized in the provisions of services that have generated the gross proceeds.</w:t>
      </w:r>
    </w:p>
    <w:p>
      <w:pPr>
        <w:spacing w:after="0" w:line="184"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According to the Announcement of SAT on Promulgation of the Administrative Measures on Tax Exemption for Cross-border Taxable Activities for Levying Value-Added Tax in Lieu of Business Tax (Trial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Implementation), which was promulgated by the SAT on May 6, 2016 and became effective on May 1, 2016, as amended on June 16, 2018 by the Announcement of the SAT on the Revision to Certain Taxation Regulatory Documents, which was promulgated by the SAT on June 15, 2018, certain cross-border taxable activities, such as offshore service outsourcing business provided to overseas entities and are entirely consumed overseas, shall be exempted from value-added tax.</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following summary describes the material United States federal income tax consequences of the purchase, ownership and disposition of our Class A ordinary shares as of the date hereof. The effects of any applicable state or local laws and other U.S. federal tax laws, such as estate and gift tax laws, and the impact of the Medicare contribution tax on net investment income and the alternative minimum tax, are not discussed. This summary is only applicable to Class A ordinary shares held as capital assets (generally, property held for investment) within the meaning of Section 1221 of the Internal Revenue Code of 1986, as amended, or the Code, by a United States Holder (as defined below).</w:t>
      </w:r>
    </w:p>
    <w:p>
      <w:pPr>
        <w:spacing w:after="0" w:line="17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discussion below is based upon the provisions of the Code, and regulations, rulings and judicial decisions thereunder as of the date hereof, and such authorities may be changed, perhaps retroactively, so as to result in United States federal income tax consequences different from those discussed below.</w:t>
      </w:r>
    </w:p>
    <w:p>
      <w:pPr>
        <w:spacing w:after="0" w:line="184"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This summary does not represent a detailed description of the United States federal income tax consequences applicable to you if you are subject to special treatment under the United States federal income tax laws, including if you are:</w:t>
      </w:r>
    </w:p>
    <w:p>
      <w:pPr>
        <w:spacing w:after="0" w:line="197" w:lineRule="exact"/>
        <w:rPr>
          <w:sz w:val="20"/>
          <w:szCs w:val="20"/>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person holding our Class A ordinary shares as part of a hedging, integrated or conversion transaction, a constructive sale or a straddle;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trader in securities that has elected the mark-to-market method of accounting for your securities;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Class A ordinary shares being taken into account in an “applicable financial statement” (as defined in the Code);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person who owns or is deemed to own 10% or more of our stock by vote or value;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person whose “functional currency” is not the United States dollar.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used herein, the term “United States Holder” means a beneficial owner of our Class A ordinary shares that is for United States federal income tax purposes:</w:t>
      </w:r>
    </w:p>
    <w:p>
      <w:pPr>
        <w:spacing w:after="0" w:line="197" w:lineRule="exact"/>
        <w:rPr>
          <w:sz w:val="20"/>
          <w:szCs w:val="20"/>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52"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holds our Class A ordinary shares, the tax treatment of a partner will generally depend upon the status of the partner and the activities of the partnership. If you are a partner of a partnership holding our Class A ordinary shares, you should consult your tax advisors.</w:t>
      </w:r>
    </w:p>
    <w:p>
      <w:pPr>
        <w:spacing w:after="0" w:line="180" w:lineRule="exact"/>
        <w:rPr>
          <w:sz w:val="20"/>
          <w:szCs w:val="20"/>
          <w:color w:val="auto"/>
        </w:rPr>
      </w:pPr>
    </w:p>
    <w:p>
      <w:pPr>
        <w:ind w:left="120" w:firstLine="881"/>
        <w:spacing w:after="0" w:line="261" w:lineRule="auto"/>
        <w:rPr>
          <w:sz w:val="20"/>
          <w:szCs w:val="20"/>
          <w:color w:val="auto"/>
        </w:rPr>
      </w:pPr>
      <w:r>
        <w:rPr>
          <w:rFonts w:ascii="Arial" w:cs="Arial" w:eastAsia="Arial" w:hAnsi="Arial"/>
          <w:sz w:val="18"/>
          <w:szCs w:val="18"/>
          <w:b w:val="1"/>
          <w:bCs w:val="1"/>
          <w:color w:val="auto"/>
        </w:rPr>
        <w:t>This summary does not contain a detailed description of all the United States federal income tax consequences to you in light of your particular circumstances. If you are considering the purchase, ownership or disposition of our Class A ordinary shares, you should consult your tax advisors concerning the United States federal income tax consequences to you in light of your particular situation as well as any consequences arising under the laws of any other taxing jurisdiction.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Subject to the discussion under “—Passive Foreign Investment Company” below, the gross amount of any distributions on our Class A ordinary shares (including any amounts withheld to reflect PRC withholding taxes) will be taxable as dividends, to the extent paid out of our current or accumulated earnings and profits, as determined under United States federal income tax principles. Such income (including withheld taxes) will be includable in your gross income as ordinary income on the day actually or constructively received by you. Such dividends will not be eligible for the dividends received deduction allowed to corporations under the Code.</w:t>
      </w:r>
    </w:p>
    <w:p>
      <w:pPr>
        <w:spacing w:after="0" w:line="188"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as determined under United States federal income tax principles, the distribution ordinarily would be treated, first, as a tax-free return of capital, causing a reduction in the adjusted basis of our Class A ordinary shares (thereby increasing the amount of gain, or decreasing the amount of loss, to be recognized by you on a subsequent disposition of our Class A ordinary shares), and, second, the balance in excess of adjusted basis generally would be taxed as capital gain recognized on a sale or exchange, as described under “—Taxation of Capital Gains” below. However, we do not expect to determine our earnings and profits in accordance with United States federal income tax principles. Therefore, you should expect that distributions will generally be reported to the Internal Revenue Service, or IRS, and taxed to you as dividends (as discussed above), even if they might ordinarily be treated as a tax-free return of capital or as capital gain.</w:t>
      </w:r>
    </w:p>
    <w:p>
      <w:pPr>
        <w:spacing w:after="0" w:line="192"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With respect to non-corporate United States Holders (including individuals), dividends received from a qualified foreign corporation may be subject to reduced rates of taxation, unless we are a PFIC in the taxable year in which such dividends are paid or in the preceding taxable year. A foreign corporation is treated as a qualified foreign corporation with respect to dividends received from that corporation on shares that are readily tradable 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an established securities market in the United States. Our Class A ordinary shares offered in this offering have been approved for listing on the Nasdaq. Provided that the listing is approved, United States Treasury Department guidance indicates that our Class A ordinary shares will be readily tradable on an established securities market in the United States. There can be no assurance that our Class A ordinary shares will continue to be readily tradable on an established securities market in later years.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A qualified foreign corporation also includes a foreign corporation that is eligible for the benefits of certain income tax treaties with the United States. In the event that we are deemed to be a PRC resident enterprise under the PRC tax law, we may be eligible for the benefits of the income tax treaty between the United States and the PRC, or the Treaty, provided that we meet the other requirements for Treaty eligibility. In that case, dividends we pay on our Class A ordinary shares may be eligible for the reduced rates of taxation whether or not the shares are readily tradable on an established securities market in the United States. Each non-corporate United States Holder is advised to consult its tax advisors regarding the availability of the reduced tax rate applicable to qualified dividend income for any dividends we pay with respect to our Class A ordinary shares.</w:t>
      </w:r>
    </w:p>
    <w:p>
      <w:pPr>
        <w:spacing w:after="0" w:line="164"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In the event that we are deemed to be a PRC resident enterprise under the PRC tax law, you may be subject to PRC withholding taxes on dividends paid to you with respect to our Class A ordinary shares. See “—PRC Taxation.” In that case, subject to certain conditions and limitations (including a minimum holding period requirement), PRC withholding taxes on dividends may be treated as foreign taxes eligible for credit against your United States federal income tax liability. For purposes of calculating the foreign tax credit, dividends paid on our Class A ordinary shares will be treated as foreign source income and will generally constitute passive category income. If you do not elect to claim a foreign tax credit for foreign tax withheld, you may instead claim a deduction, for United States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we will be a PFIC for any taxable year in which:</w:t>
      </w:r>
    </w:p>
    <w:p>
      <w:pPr>
        <w:spacing w:after="0" w:line="252" w:lineRule="exact"/>
        <w:rPr>
          <w:sz w:val="20"/>
          <w:szCs w:val="20"/>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least 75% of our gross income is passive income, or</w:t>
      </w:r>
    </w:p>
    <w:p>
      <w:pPr>
        <w:spacing w:after="0" w:line="252"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least 50% of the value (based on a quarterly average) of our assets is attributable to assets that produce or are held for the production of passive income.</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If we own at least 25% (by value) of the stock of another corporation, we will be treated, for purposes of determining whether we are a PFIC, as owning our proportionate share of the other corporation’s assets and receiving our proportionate share of the other corporation’s income.</w:t>
      </w:r>
    </w:p>
    <w:p>
      <w:pPr>
        <w:spacing w:after="0" w:line="18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the manner in which we currently operate our business, the current and expected composition of our income and assets and the expected value of our assets (including the value of our goodwill, which is based on the expected price of our Class A ordinary shares in this offering), we believe we were not a PFIC for our taxable year ended December 31, 2021, and we do not expect to be a PFIC for our current taxable year. However, our PFIC status for any taxable year is an annual determination that can be made only after the end of that year and will depend on the composition of our income and assets and the value of our assets from time to time (which may be determined, in large part, by reference to the market price of our Class A ordinary shares, which could be volatile). Because we will hold a substantial amount of cash following this offering, we may be or become a PFIC if our market capitalization declines. Moreover, it is not entirely clear how the contractual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arrangements between us, our consolidated VIEs and their shareholders will be treated for purposes of the PFIC rules, and we may be or become a PFIC if our consolidated VIEs are not treated as owned by us for these purposes. Accordingly, there can be no assurance that we will not be a PFIC for our current or any future taxable year.</w:t>
      </w:r>
    </w:p>
    <w:p>
      <w:pPr>
        <w:spacing w:after="0" w:line="18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If we are a PFIC for any taxable year during which you hold our Class A ordinary shares and you do not make a timely mark-to-market election, as described below, you will be subject to special tax rules with respect to any “excess distribution” received and any gain realized from a sale or other disposition, including a pledge, of our Class A ordinary shares. Distributions received in a taxable year that are greater than 125% of the average annual distributions received during the shorter of the three preceding taxable years or your holding period for our Class A ordinary shares will be treated as excess distributions. Under these special tax rules:</w:t>
      </w:r>
    </w:p>
    <w:p>
      <w:pPr>
        <w:spacing w:after="0" w:line="215" w:lineRule="exact"/>
        <w:rPr>
          <w:sz w:val="20"/>
          <w:szCs w:val="20"/>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our Class A ordinary shares,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in your holding period prior to the first taxable year in which we were a PFIC, will be treated as ordinary income, and</w:t>
      </w:r>
    </w:p>
    <w:p>
      <w:pPr>
        <w:spacing w:after="0" w:line="197" w:lineRule="exact"/>
        <w:rPr>
          <w:rFonts w:ascii="Arial" w:cs="Arial" w:eastAsia="Arial" w:hAnsi="Arial"/>
          <w:sz w:val="18"/>
          <w:szCs w:val="18"/>
          <w:color w:val="auto"/>
        </w:rPr>
      </w:pPr>
    </w:p>
    <w:p>
      <w:pPr>
        <w:ind w:left="1420" w:right="460" w:hanging="319"/>
        <w:spacing w:after="0" w:line="342" w:lineRule="auto"/>
        <w:tabs>
          <w:tab w:leader="none" w:pos="1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tax at the highest income tax rate in effect for that year and the interest charge generally applicable to underpayments of tax will be imposed on the resulting tax attributable to each such year.</w:t>
      </w:r>
    </w:p>
    <w:p>
      <w:pPr>
        <w:spacing w:after="0" w:line="12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Although the determination of whether we are a PFIC is made annually, if we are a PFIC for any taxable year in which you hold our Class A ordinary shares, you will generally be subject to the special tax rules described above for that year and for each subsequent year in which you hold our Class A ordinary shares (even if we do not qualify as a PFIC in any subsequent years). However, if we cease to be a PFIC, you can avoid the continuing impact of the PFIC rules by making a special election to recognize gain as if your Class A ordinary shares had been sold on the last day of the last taxable year during which we were a PFIC. You are urged to consult your tax advisor about this election.</w:t>
      </w:r>
    </w:p>
    <w:p>
      <w:pPr>
        <w:spacing w:after="0" w:line="176"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In certain circumstances, in lieu of being subject to the special tax rules discussed above, you may make a mark-to-market election with respect to your Class A ordinary shares provided such Class A ordinary shares are treated as “marketable stock.” Our Class A ordinary shares generally will be treated as marketable stock if our Class A ordinary shares are “regularly traded” on a “qualified exchange or other market” (within the meaning of the applicable Treasury regulations). Under current law, the mark-to-market election may be available to shareholders if our Class A ordinary shares are quoted on the Nasdaq, which constitutes a qualified exchange, although there can be no assurance that our Class A ordinary shares will be “regularly traded” for purposes of the mark-to-market election. If you make an effective mark-to-market election, for each taxable year that we are a PFIC, you will include as ordinary income the excess of the fair market value of your Class A ordinary shares at the end of the year over your adjusted basis in the Class A ordinary shares. You will be entitled to deduct as an ordinary loss in each such year the excess of your adjusted basis in the Class A ordinary shares over their fair market value at the end of the year, but only to the extent of the net amount previously included in income as a result of the mark-to-market election. If you make an effective mark-to-market election, any gain you recognize upon the sale or other disposition of your Class A ordinary shares in a year that we are a PFIC will be treated as ordinary income and any loss will be treated as ordinary loss, but only to the extent of the net amount previously included in income as a result of the mark-to-market election. Your adjusted basis in the Class A ordinary shares will be increased by the amount of any income inclusion and decreased by the amount of any deductions, in each case, to the extent provided for under the mark-to-market rules. If you make a mark-to-market election it will be effective for the taxable year for which the election is made and all subsequent taxable years unless the Class A ordinary shares are no longer regularly traded on a qualified exchange or other market, or the IRS consents to the revocation of the election. You are urged to consult your tax advisor about the availability of the mark-to-market election, and whether making the election would be advisable in your particular circumstances.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A different election, known as the “qualified electing fund” or “QEF” election is generally available to holders of PFIC stock, but requires that the corporation provide the holders with a “PFIC Annual Information Statement” containing certain information necessary for the election, including the holder’s pro rata share of the corporation’s earnings and profits and net capital gains for each taxable year, computed according to United States federal income tax principles. We do not intend, however, to determine our earnings and profits or net capital gain under United States federal income tax principles, nor do we intend to provide United States Holders with a PFIC Annual Information Statement. Therefore, you should not expect to be eligible to make this election.</w:t>
      </w:r>
    </w:p>
    <w:p>
      <w:pPr>
        <w:spacing w:after="0" w:line="192"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If we are a PFIC for any taxable year during which you hold our Class A ordinary shares and any of our non-United States subsidiaries is also a PFIC, you will be treated as owning a proportionate amount (by value) of the shares of the lower-tier PFIC for purposes of the application of these rules. Because a mark-to-market election cannot be made for any lower-tier PFICs that a PFIC may own, if you make a mark-to-market election with respect to our Class A ordinary shares, you may continue to be subject to the general PFIC rules with respect to your indirect interest in any of our non-United States subsidiaries that is classified as a PFIC. You are urged to consult your tax advisors about the application of the PFIC rules to any of our subsidiaries. You will generally be required to file IRS Form 8621 if you hold our Class A ordinary shares in any year in which we are classified as a PFIC. You are urged to consult your tax advisors concerning the United States federal income tax consequences of holding our Class A ordinary shares if we are considered a PFIC in any taxable year and the availability, manner and advisability of making any elections.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For United States federal income tax purposes, you will recognize taxable gain or loss on any sale or exchange of our Class A ordinary shares in an amount equal to the difference between the amount realized for our Class A ordinary shares and your adjusted basis in our Class A ordinary shares. Subject to the discussion under “—Passive Foreign Investment Company” above, such gain or loss will generally be capital gain or loss and will generally be long-term capital gain or loss if you have held our Class A ordinary shares for more than one year. Long-term capital gains of non-corporate United States Holders (including individuals) are eligible for reduced rates of taxation. The deductibility of capital losses is subject to limitations. Any gain or loss recognized by you will generally be treated as United States source gain or loss for foreign tax credit limitation purposes. However, if we are treated as a PRC resident enterprise for PRC tax purposes and PRC tax is imposed on any gain, and if you are eligible for the benefits of the Treaty, you may elect to treat such gain as foreign source gain under the Treaty. If you are not eligible for the benefits of the Treaty or you fail to make the election to treat any gain as foreign source, you may not be able to use the foreign tax credit arising from any PRC tax imposed on the disposition of our Class A ordinary shares unless such credit can be applied (subject to applicable limitations) against United States federal income tax due on other income derived from foreign sources in the same income category (generally, the passive category). You are urged to consult your tax advisors regarding the tax consequences if any PRC tax is imposed on gain on a disposition of our Class A ordinary shares, including the availability of the foreign tax credit and the election to treat any gain as foreign source, under your particular circumstances.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In general, information reporting will apply to dividends in respect of our Class A ordinary shares and the proceeds from the sale, exchange or other disposition of our Class A ordinary shares that are paid to you within the United States (and in certain cases, outside the United States), unless you are an exempt recipient such as a corporation. A backup withholding tax may apply to such payments if you fail to provide a taxpayer identification number or certification of exempt status or fail to report in full dividend and interest income.</w:t>
      </w:r>
    </w:p>
    <w:p>
      <w:pPr>
        <w:spacing w:after="0" w:line="171"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your United States federal income tax liability provided the required information is furnished to the IRS in a timely manner.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Certain United States Holders that hold certain foreign financial assets (which may include our Class A ordinary shares) may be required to report information relating to such assets, subject to exceptions (including an exception for Class A ordinary shares held in accounts maintained by certain financial institutions). You are urged to consult your tax advisors regarding the effect, if any, of this reporting requirement on your ownership and disposition of our Class A ordinary shares.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460" w:firstLine="881"/>
        <w:spacing w:after="0" w:line="286" w:lineRule="auto"/>
        <w:rPr>
          <w:sz w:val="20"/>
          <w:szCs w:val="20"/>
          <w:color w:val="auto"/>
        </w:rPr>
      </w:pPr>
      <w:r>
        <w:rPr>
          <w:rFonts w:ascii="Arial" w:cs="Arial" w:eastAsia="Arial" w:hAnsi="Arial"/>
          <w:sz w:val="17"/>
          <w:szCs w:val="17"/>
          <w:color w:val="auto"/>
        </w:rPr>
        <w:t>Aegis Capital Corp., or Aegis, is acting as the underwriter and the book-running manager of the offering. Subject to the terms and conditions set forth in an underwriting agreement among us and the underwriter, we have agreed to sell to the underwriter, and the underwriter has agreed to purchase from us, the number of Class A ordinary shares set forth opposite its name below.</w:t>
      </w:r>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wp:posOffset>
            </wp:positionV>
            <wp:extent cx="5974715"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Aegis Capital Corp.</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840"/>
        <w:spacing w:after="0"/>
        <w:rPr>
          <w:sz w:val="20"/>
          <w:szCs w:val="20"/>
          <w:color w:val="auto"/>
        </w:rPr>
      </w:pPr>
      <w:r>
        <w:rPr>
          <w:rFonts w:ascii="Arial" w:cs="Arial" w:eastAsia="Arial" w:hAnsi="Arial"/>
          <w:sz w:val="12"/>
          <w:szCs w:val="12"/>
          <w:b w:val="1"/>
          <w:bCs w:val="1"/>
          <w:color w:val="auto"/>
        </w:rPr>
        <w:t>Number of Class A</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372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jc w:val="right"/>
        <w:ind w:right="840"/>
        <w:spacing w:after="0"/>
        <w:rPr>
          <w:sz w:val="20"/>
          <w:szCs w:val="20"/>
          <w:color w:val="auto"/>
        </w:rPr>
      </w:pPr>
      <w:r>
        <w:rPr>
          <w:rFonts w:ascii="Arial" w:cs="Arial" w:eastAsia="Arial" w:hAnsi="Arial"/>
          <w:sz w:val="18"/>
          <w:szCs w:val="18"/>
          <w:color w:val="auto"/>
        </w:rPr>
        <w:t>2,940,000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372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4"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2,940,000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372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000"/>
          </w:cols>
          <w:pgMar w:left="320" w:top="459" w:right="459" w:bottom="1440" w:gutter="0" w:footer="0" w:header="0"/>
          <w:type w:val="continuous"/>
        </w:sectPr>
      </w:pPr>
    </w:p>
    <w:p>
      <w:pPr>
        <w:spacing w:after="0" w:line="79"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Subject to the terms and conditions set forth in the underwriting agreement, the underwriter has agreed to purchase all of the Class A ordinary shares sold under the underwriting agreement if any of these Class A ordinary shares are purchased.</w:t>
      </w:r>
    </w:p>
    <w:p>
      <w:pPr>
        <w:spacing w:after="0" w:line="170"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70" w:lineRule="exact"/>
        <w:rPr>
          <w:sz w:val="20"/>
          <w:szCs w:val="20"/>
          <w:color w:val="auto"/>
        </w:rPr>
      </w:pPr>
    </w:p>
    <w:p>
      <w:pPr>
        <w:ind w:left="120" w:right="520" w:firstLine="881"/>
        <w:spacing w:after="0" w:line="279" w:lineRule="auto"/>
        <w:rPr>
          <w:sz w:val="20"/>
          <w:szCs w:val="20"/>
          <w:color w:val="auto"/>
        </w:rPr>
      </w:pPr>
      <w:r>
        <w:rPr>
          <w:rFonts w:ascii="Arial" w:cs="Arial" w:eastAsia="Arial" w:hAnsi="Arial"/>
          <w:sz w:val="17"/>
          <w:szCs w:val="17"/>
          <w:color w:val="auto"/>
        </w:rPr>
        <w:t>The underwriter is offering Class A ordinary shares, subject to prior sale, when, as and if issued to and accepted by them, subject to approval of legal matters by the underwriter’s counsel, including the validity of the Class A ordinary shares, and other conditions contained in the underwriting agreement, such as the receipt by the underwriters of officer’s certificates and legal opinions. The underwriter reserves the right to withdraw, cancel or modify offers to the public and to reject orders in whole or in part.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underwriter proposes initially to offer the Class A ordinary shares to the public at the public offering price set forth on the cover page of this prospectus and to dealers at that price less a concession not in excess of $0.49 per share. After the initial offering, the public offering price, concession or any other term of the offering may be changed.</w:t>
      </w:r>
    </w:p>
    <w:p>
      <w:pPr>
        <w:spacing w:after="0" w:line="184"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 of the option to purchase additional Class A ordinary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Per Share</w:t>
            </w:r>
          </w:p>
        </w:tc>
        <w:tc>
          <w:tcPr>
            <w:tcW w:w="50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Without Option</w:t>
            </w:r>
          </w:p>
        </w:tc>
        <w:tc>
          <w:tcPr>
            <w:tcW w:w="56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With Option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36,015,000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41,417,250</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2,881,200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3,313,380</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11.27</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33,133,800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38,103,870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expenses of the offering, not including the underwriting discount, are estimated at $3.5 million and are payable by us.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the Offering</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Certain entities affiliated with DCM, one of our principal shareholders, have agreed to purchase, and have been allocated by the underwriter, an aggregate of 816,300 Class A ordinary shares in this offering at the initial public offering price, representing approximately 27.8% of the Class A ordinary shares being offered in this offering, assuming the underwriter does not exercise their over-allotment option. The underwriter will receive the same underwriting discounts and commissions on any shares purchased by these parties as the underwriter will on any other shares sold to the public in this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Class A Ordinary Shares</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We have granted an option to the underwriter, exercisable for 45 days after the date of this prospectus, to purchase up to 441,000 additional Class A ordinary shares (15.0% of the Class A ordinary shares sold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offering) at the public offering price, less the underwriting discount. The underwriter may exercise this option in whole or in part at any time within 45 days after the date of the offering. If the underwriter exercises this option, the underwriter will be obligated, subject to conditions contained in the underwriting agreement, to purchase up to 441,000 additional Class A ordinary shares, representing 15.0% of the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We, our executive officers and directors and our other existing security holders have agreed not to sell or transfer any ordinary shares or securities convertible into, exchangeable for, or exercisable for ordinary shares, for 180 days after the date of this prospectus without first obtaining the written consent of the underwriter. Specifically, we and these other persons have agreed, with certain limited exceptions, not to directly or indirectly</w:t>
      </w:r>
    </w:p>
    <w:p>
      <w:pPr>
        <w:spacing w:after="0" w:line="176" w:lineRule="exact"/>
        <w:rPr>
          <w:sz w:val="20"/>
          <w:szCs w:val="20"/>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offer, pledge, sell or contract to sell any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sell any option or contract to purchase any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purchase any option or contract to sell any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dispose of or transfer any ordinary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ordinary shares, or</w:t>
      </w:r>
    </w:p>
    <w:p>
      <w:pPr>
        <w:spacing w:after="0" w:line="263" w:lineRule="exact"/>
        <w:rPr>
          <w:rFonts w:ascii="Arial" w:cs="Arial" w:eastAsia="Arial" w:hAnsi="Arial"/>
          <w:sz w:val="17"/>
          <w:szCs w:val="17"/>
          <w:color w:val="auto"/>
        </w:rPr>
      </w:pPr>
    </w:p>
    <w:p>
      <w:pPr>
        <w:jc w:val="both"/>
        <w:ind w:left="1420" w:right="300" w:hanging="319"/>
        <w:spacing w:after="0" w:line="342" w:lineRule="auto"/>
        <w:tabs>
          <w:tab w:leader="none" w:pos="1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ordinary shares whether any such swap or transaction is to be settled by delivery of ordinary shares or other securities, in cash or otherwise.</w:t>
      </w:r>
    </w:p>
    <w:p>
      <w:pPr>
        <w:spacing w:after="0" w:line="12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This lock-up provision applies to ordinary shares and to securities convertible into or exchangeable or exercisable for ordinary shares. It also applies to ordinary shares owned now or acquired later by the person executing the agreement or for which the person executing the agreement later acquires the power of disposition. Any ordinary shares subscribed for by the DCM entities in this offering will not be subject to the foregoing lock-up restrictions.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 Warrants</w:t>
      </w:r>
    </w:p>
    <w:p>
      <w:pPr>
        <w:spacing w:after="0" w:line="229"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We have agreed to issue to Aegis or its designees warrants to purchase up to a total of 1.0% of the Class A ordinary shares sold in this offering (excluding the shares sold through the exercise of the over-allotment option). Such warrants and underlying ordinary shares are included in this prospectus. The warrants are exercisable at $18.375 per share (150% of the public offering price per ordinary share) commencing on a date which is six</w:t>
      </w:r>
    </w:p>
    <w:p>
      <w:pPr>
        <w:spacing w:after="0" w:line="2" w:lineRule="exact"/>
        <w:rPr>
          <w:sz w:val="20"/>
          <w:szCs w:val="20"/>
          <w:color w:val="auto"/>
        </w:rPr>
      </w:pPr>
    </w:p>
    <w:p>
      <w:pPr>
        <w:ind w:left="120" w:hanging="4"/>
        <w:spacing w:after="0" w:line="267" w:lineRule="auto"/>
        <w:tabs>
          <w:tab w:leader="none" w:pos="37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months from the commencement of sales of the offering under this prospectus and expiring on a date which is no more than two (2) years from the commencement of sales of the offering in compliance with FINRA Rule 5110. The warrants have been deemed compensation by FINRA and are therefore subject to a 6-month lock-up pursuant to Rule 5110 of FINRA. The underwriter (or its permitted assignees under the Rule) will not sell, transfer, assign, pledge, or hypothecate these warrants or the ordinary shares underlying these warrants, nor will it engage in any hedging, short sale, derivative, put, or call transaction that would result in the effective economic disposition of the warrants or the underlying securities for a period of 180 days from the commencement of sales of the offering. The warrants may be exercised as to all, or a lesser number of ordinary shares and will provide for cashless exercise in the event there is not an effective registration statement for the underlying shares. Such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The warrants will have anti-dilution terms that are consistent with FINRA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5110(g)(8)(E) and (F). We will bear all fees and expenses attendant to registering the securities issuable on exercise of the warrants other than underwriting commissions incurred and payable by the holders. The exercise price and number of shares issuable upon exercise of the warrants may be adjusted in certain circumstances including in the event of a stock dividend, extraordinary cash dividend or our recapitalization, reorganization, merger or consolidation. However, the warrant exercise price or underlying shares will not be adjusted for issuances of ordinary shares at a price below the warrant exercise price.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If, for the period ending eighteen (18) months from the closing of this offering, we or any of our subsidiaries decides to raise funds by means of a public offering (including at-the-market facility) or a private placement or any other capital raising financing of equity, equity-linked or debt securities, the underwriter (or any affiliate designated by the underwriter) shall have the right to act as sole book-running manager, sole underwriter or sole placement agent for such financing. If the underwriter or one of its affiliates decides to accept any such engagement, the agreement governing such engagement will contain, among other things, provisions for customary fees for transactions of similar size and nature, but in no event will the fees be less than those provided herein, including indemnification, which are appropriate to such a transaction. The right of first refusal shall not apply to any transaction where the book-running manager, underwriter or placement agent for such financing is a tier one investment bank in the United States and/or its affiliates as agreed between us and the underwriter in this offering.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Standstill</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underwriting agreement for this offering will provide, among other items, that we will agree, for a period of one hundred eighty (180) days from the closing date of this offering, that without the prior written consent of Aegis, we will not (a) offer, sell, issue, or otherwise transfer or dispose of, directly or indirectly, any of our equity or any securities convertible into or exercisable or exchangeable for our equity; (b) file or caused to be filed any registration statement with the SEC relating to the offering of any of our equity or any securities convertible into or exercisable or exchangeable for our equity; or (c) enter into any agreement or announce the intention to effect any of the actions described in the underwriting agreement for this offering (all of such matters referred to as the Standstill). So long as none of such equity securities shall be saleable in the public market until the expiration of the one hundred eighty (180) period described above, the following matters shall not be prohibited by the Standstill: (i) the adoption of an equity incentive plan and the grant of awards or equity pursuant to any equity incentive plan, and the filing of a registration statement on Form S-8; and (ii) the issuance of equity securities in connection with an acquisition or a strategic relationship, which may include the sale of equity securities. In no event should any equity transaction during the Standstill period result in the sale of equity at an offering price to the public less than that of this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Tail Financing</w:t>
      </w:r>
    </w:p>
    <w:p>
      <w:pPr>
        <w:spacing w:after="0" w:line="229"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Aegis shall be entitled to compensation with respect to any public or private offering or other financing or capital raising transaction of any kind to the extent that such financing or capital is provided to us by funds whom Aegis had contacted during the engagement period or introduced to us during the engagement period, if such tail financing is consummated at any time within the six-month period following the expiration or termination of the letter of engagement between Aegis and us.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Class A ordinary shares have been approved for listing on the Nasdaq under the symbol “GCT.”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ordinary shares. The initial public offering price is determined through negotiations between us and the underwriter.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underwriter believes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An active trading market for our Class A ordinary shares may not develop. It is also possible that after the offering our Class A ordinary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underwriter does not expect to sell more than 5% of the shares in the aggregate to accounts over which they exercise discretionary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Until the distribution of our Class A ordinary shares offered in this offering is completed, SEC rules may limit the underwriter from bidding for and purchasing our Class A ordinary shares. However, the underwriter may engage in transactions that stabilize the price of our Class A ordinary shares,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 may purchase and sell our Class A ordinary shares offered in this offering in the open market. These transactions may include short sales, purchases on the open market to cover positions created by short sales and stabilizing transactions. Short sales involve the sale by the underwriter of a greater number of Class A ordinary shares than they are required to purchase in the offering. “Covered” short sales are sales made in an amount not greater than the underwriter’s option to purchase additional Class A ordinary shares described above. The underwriter may close out any covered short position by either exercising the option to purchase additional Class A ordinary shares or purchasing Class A ordinary shares in the open market. In determining the source of Class A ordinary shares to close out the covered short position, the underwriter will consider, among other things, the price of Class A ordinary shares available for purchase in the open market as compared to the price at which they may purchase Class A ordinary shares through the option granted to them. “Naked” short sales are sales in excess of such option. The underwriter must close out any naked short position by purchasing Class A ordinary shares in the open market. A naked short position is more likely to be created if the underwriter is concerned that there may be downward pressure on the price of our Class A ordinary shares in the open market after pricing that could adversely affect investors who purchase in the offering. Stabilizing transactions consist of various bids for or purchases of Class A ordinary shares made by the underwriter in the open market prior to the completion of the offering.</w:t>
      </w:r>
    </w:p>
    <w:p>
      <w:pPr>
        <w:spacing w:after="0" w:line="168"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to the underwriter a portion of the underwriting discount received by it because the underwriter has repurchased Class A ordinary shares sold by or for the account of such underwriter or dealer in stabilizing or short covering transactions.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ordinary shares or preventing or retarding a decline in the market price of our Class A ordinary shares. As a result, the price of our Class A ordinary shares may be higher than the price that might otherwise exist in the open market. The underwriters may conduct these transactions on the Nasdaq, in the over-the-counter market or otherwise.</w:t>
      </w:r>
    </w:p>
    <w:p>
      <w:pPr>
        <w:spacing w:after="0" w:line="187"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Neither we nor any of the underwriter make any representation or prediction as to the direction or magnitude of any effect that the transactions described above may have on the price of our Class A ordinary shares. In addition, neither we nor any of the underwriter make any representation that the underwriter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The underwriter and its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At our request, the underwriter has reserved for sale, at the initial public offering price, up to an aggregate of 29,400 Class A ordinary shares, or 1% of the Class A ordinary shares offered in this offering to certain of our directors, officers, employees, business associates and other persons having relationships with us. Pursuant to the underwriting agreement, the sales will be made by Aegis through the Directed Share Program. If these persons purchase reserved Class A ordinary shares, it will reduce the number of Class A ordinary shares available for sale to the general public. Any reserved Class A ordinary shares that are not so purchased will be offered by the underwriter to the general public on the same terms as the other Class A ordinary shares offered by this prospectus. Any Class A ordinary shares sold in the Directed Share Program to a party who has entered into a lock-up agreement shall be subject to the provisions of such lock-up agreement.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State, no Class A ordinary shares have been offered or will be offered pursuant to the initial public offering to the public in that Relevant State prior to the publication of a prospectus in relation to the Class A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Class A ordinary shares may be made to the public in that Relevant State at any time under the following exemptions under the Prospectus Regulation:</w:t>
      </w:r>
    </w:p>
    <w:p>
      <w:pPr>
        <w:spacing w:after="0" w:line="188" w:lineRule="exact"/>
        <w:rPr>
          <w:sz w:val="20"/>
          <w:szCs w:val="20"/>
          <w:color w:val="auto"/>
        </w:rPr>
      </w:pPr>
    </w:p>
    <w:p>
      <w:pPr>
        <w:ind w:left="5480" w:right="3100" w:hanging="4487"/>
        <w:spacing w:after="0" w:line="449" w:lineRule="auto"/>
        <w:tabs>
          <w:tab w:leader="none" w:pos="14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 231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420" w:right="520" w:hanging="427"/>
        <w:spacing w:after="0" w:line="277"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provided that no such offer of Class A ordinary shares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Each person in a Relevant State who initially acquires any Class A ordinary shares or to whom any offer is made will be deemed to have represented, acknowledged and agreed to and with the company and the Managers that it is a qualified investor within the meaning of the Prospectus Regulation.</w:t>
      </w:r>
    </w:p>
    <w:p>
      <w:pPr>
        <w:spacing w:after="0" w:line="18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In the case of any Class A ordinary shares being offered to a financial intermediary as that term is used in Article 5(1) of the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 has been obtained to each such proposed offer or resale.</w:t>
      </w:r>
    </w:p>
    <w:p>
      <w:pPr>
        <w:spacing w:after="0" w:line="176"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company, the underwriter and its affiliates will rely upon the truth and accuracy of the foregoing representations, acknowledgements and agreements.</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Class A ordinary shares in any Relevant State means the communication in any form and by any means of sufficient information on the terms of the offer and any Class A ordinary shares to be offered so as to enable an investor to decide to purchase or subscribe for any Class A ordinary shares, and the expression “Prospectus Regulation” means Regulation (EU) 2017/1129.</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connection with the offering, the underwriter is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U.K.</w:t>
      </w:r>
    </w:p>
    <w:p>
      <w:pPr>
        <w:spacing w:after="0" w:line="229" w:lineRule="exact"/>
        <w:rPr>
          <w:sz w:val="20"/>
          <w:szCs w:val="20"/>
          <w:color w:val="auto"/>
        </w:rPr>
      </w:pPr>
    </w:p>
    <w:p>
      <w:pPr>
        <w:jc w:val="both"/>
        <w:ind w:left="120" w:right="80" w:firstLine="881"/>
        <w:spacing w:after="0" w:line="279" w:lineRule="auto"/>
        <w:rPr>
          <w:sz w:val="20"/>
          <w:szCs w:val="20"/>
          <w:color w:val="auto"/>
        </w:rPr>
      </w:pPr>
      <w:r>
        <w:rPr>
          <w:rFonts w:ascii="Arial" w:cs="Arial" w:eastAsia="Arial" w:hAnsi="Arial"/>
          <w:sz w:val="17"/>
          <w:szCs w:val="17"/>
          <w:color w:val="auto"/>
        </w:rPr>
        <w:t>In relation to the U.K., no Class A ordinary shares have been offered or will be offered pursuant to the initial public offering to the public in the U.K. prior to the publication of a prospectus in relation to the Class A ordinary shares which has been approved by the Financial Conduct Authority in the U.K. in accordance with the U.K. Prospectus Regulation and the FSMA, except that offers of Class A ordinary shares may be made to the public in the U.K. at any time under the following exemptions under the U.K. Prospectus Regulation and the FSMA:</w:t>
      </w:r>
    </w:p>
    <w:p>
      <w:pPr>
        <w:spacing w:after="0" w:line="198" w:lineRule="exact"/>
        <w:rPr>
          <w:sz w:val="20"/>
          <w:szCs w:val="20"/>
          <w:color w:val="auto"/>
        </w:rPr>
      </w:pPr>
    </w:p>
    <w:p>
      <w:pPr>
        <w:ind w:left="1420" w:hanging="427"/>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20" w:hanging="427"/>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 for any such offer;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provided that no such offer of Class A ordinary shares shall require the Issuer or any Manager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720" w:firstLine="881"/>
        <w:spacing w:after="0" w:line="263" w:lineRule="auto"/>
        <w:rPr>
          <w:sz w:val="20"/>
          <w:szCs w:val="20"/>
          <w:color w:val="auto"/>
        </w:rPr>
      </w:pPr>
      <w:r>
        <w:rPr>
          <w:rFonts w:ascii="Arial" w:cs="Arial" w:eastAsia="Arial" w:hAnsi="Arial"/>
          <w:sz w:val="18"/>
          <w:szCs w:val="18"/>
          <w:color w:val="auto"/>
        </w:rPr>
        <w:t>Each person in the U.K. who initially acquires any Class A ordinary shares or to whom any offer is made will be deemed to have represented, acknowledged and agreed to and with the company and the Managers that it is a qualified investor within the meaning of the U.K. Prospectus Regulation.</w:t>
      </w:r>
    </w:p>
    <w:p>
      <w:pPr>
        <w:spacing w:after="0" w:line="184"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In the case of any Class A ordinary shares being offered to a financial intermediary as that term is used in Article 5(1) of the U.K. Prospectus Regulation, each such financial intermediary will be deemed to have represented, acknowledged and agreed that the Class A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 has been obtained to each such proposed offer or resale.</w:t>
      </w:r>
    </w:p>
    <w:p>
      <w:pPr>
        <w:spacing w:after="0" w:line="176"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company, the underwriter and their affiliates will rely upon the truth and accuracy of the foregoing representations, acknowledgments and agreements.</w:t>
      </w:r>
    </w:p>
    <w:p>
      <w:pPr>
        <w:spacing w:after="0" w:line="170"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Class A ordinary shares in the U.K. means the communication in any form and by any means of sufficient information on the terms of the offer and any Class A ordinary shares to be offered so as to enable an investor to decide to purchase or subscribe for any Class A ordinary shares, the expression “U.K. Prospectus Regulation” means Regulation (EU) 2017/1129 as it forms part of domestic law by virtue of the European Union (Withdrawal) Act 2018, and the expression “FSMA” means the Financial Services and Markets Act 2000.</w:t>
      </w:r>
    </w:p>
    <w:p>
      <w:pPr>
        <w:spacing w:after="0" w:line="188"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In connection with the offering, the underwriter is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or, as amended, the Financial Promotion Order, (ii) are persons falling within Article 49(2)(a) to (d), or high net worth companies, unincorporated associations etc., of the Financial Promotion Order, (iii) are outside the U.K., or (iv) are persons to whom an invitation or inducement to engage in investment activity (within the meaning of Section 21 of the Financial Services and Markets Act 2000, as amended, or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document is not intended to constitute an offer or solicitation to purchase or invest in our Class A ordinary shares described herein. Our Class A ordinary shares may not be publicly offered, directly or indirectly, in Switzerland within the meaning of the Swiss Financial Services Act, or FinSA, and will not be listed or admitted to trading on the SIX Swiss Exchange or on any other trading venue (exchange or multilateral trading facility) in Switzerland. Neither this document nor any other offering or marketing material relating to our Class A ordinary shares or the offering constitutes a prospectus as such term is understood pursuant to the FinSA, and neither this document nor any other offering or marketing material relating to our Class A ordinary shares or the offering may be publicly distributed or otherwise made publicly available in Switzerland.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Our Class A ordinary shares to which this prospectus relates may be illiquid and/or subject to restrictions on their resale. Prospective purchasers of our Class A ordinary shares offered should conduct their own due diligence on our Class A ordinary shares. If you do not understand the contents of this prospectus you should consult an authorized financial advisor.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8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380" w:firstLine="881"/>
        <w:spacing w:after="0" w:line="279" w:lineRule="auto"/>
        <w:rPr>
          <w:sz w:val="20"/>
          <w:szCs w:val="20"/>
          <w:color w:val="auto"/>
        </w:rPr>
      </w:pPr>
      <w:r>
        <w:rPr>
          <w:rFonts w:ascii="Arial" w:cs="Arial" w:eastAsia="Arial" w:hAnsi="Arial"/>
          <w:sz w:val="17"/>
          <w:szCs w:val="17"/>
          <w:color w:val="auto"/>
        </w:rPr>
        <w:t>Any offer in Australia of our Class A ordinary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ordinary shares without disclosure to investors under Chapter 6D of the Corporations Act.</w:t>
      </w:r>
    </w:p>
    <w:p>
      <w:pPr>
        <w:spacing w:after="0" w:line="171"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Our Class A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our Class A ordinary shares must observe such Australian on-sale restrictions.</w:t>
      </w:r>
    </w:p>
    <w:p>
      <w:pPr>
        <w:spacing w:after="0" w:line="188"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Our Class A ordinary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our Class A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our Class A ordinary shares which are or are intended to be disposed of only to persons outside Hong Kong or only to “professional investors” as defined in the Securities and Futures Ordinance and any rules made under that Ordinance.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Class A ordinary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our Class A ordinary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our Class A ordinary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our Class A ordinary shares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427"/>
        <w:spacing w:after="0" w:line="27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our Class A ordinary shares pursuant to an offer made under Section 275 of the SFA except:</w:t>
      </w:r>
    </w:p>
    <w:p>
      <w:pPr>
        <w:spacing w:after="0" w:line="211" w:lineRule="exact"/>
        <w:rPr>
          <w:sz w:val="20"/>
          <w:szCs w:val="20"/>
          <w:color w:val="auto"/>
        </w:rPr>
      </w:pPr>
    </w:p>
    <w:p>
      <w:pPr>
        <w:ind w:left="1420" w:right="940" w:hanging="427"/>
        <w:spacing w:after="0" w:line="277"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Our Class A ordinary shares may be sold only to purchasers purchasing, or deemed to be purchasing, as principal that are accredited investors, as defined in National Instrument 45-106 Prospectus Exemptions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subsection 73.3(1) of the Securities Act (Ontario), and are permitted clients, as defined in National Instrument 31-103 Registration Requirements, Exemptions and Ongoing Registrant Obligations. Any resale of our Class A ordinary shares must be made in accordance with an exemption from, or in a transaction not subject to, the prospectus requirements of applicable securities laws.</w:t>
      </w:r>
    </w:p>
    <w:p>
      <w:pPr>
        <w:spacing w:after="0" w:line="184"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020"/>
          </w:cols>
          <w:pgMar w:left="320" w:top="459" w:right="5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expected to be incurred in connection with this offering. Except for the SEC registration fee, the Nasdaq listing fee and the Financial Industry Regulatory Authority Inc. filing fee, all amounts are estimates.</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3,477,843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3820"/>
              <w:spacing w:after="0"/>
              <w:rPr>
                <w:sz w:val="20"/>
                <w:szCs w:val="20"/>
                <w:color w:val="auto"/>
              </w:rPr>
            </w:pPr>
            <w:r>
              <w:rPr>
                <w:rFonts w:ascii="Arial" w:cs="Arial" w:eastAsia="Arial" w:hAnsi="Arial"/>
                <w:sz w:val="18"/>
                <w:szCs w:val="18"/>
                <w:color w:val="auto"/>
              </w:rPr>
              <w:t>237</w:t>
            </w: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are being represented by Latham &amp; Watkins LLP with respect to certain legal matters as to U.S. federal securities and New York State law. The underwriter is being represented by Kaufman &amp; Canoles, P.C., Richmond, Virginia, with respect to certain legal matters as to U.S. federal securities and New York State law. The validity of our Class A ordinary shares offered in this offering will be passed upon for us by Maples and Calder (Hong Kong) LLP. Certain legal matters as to PRC law will be passed upon for us by Han Kun Law Offices and Guantao Law Firm. Latham &amp; Watkins LLP may rely upon Maples and Calder (Hong Kong) LLP with respect to matters governed by Cayman Islands law and Han Kun Law Offices with respect to matters governed by PRC law.</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040"/>
          </w:cols>
          <w:pgMar w:left="320" w:top="459" w:right="5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consolidated financial statements of GigaCloud Technology Inc as of December 31, 2019 and 2020, and for the years then ended have been included herein and in the registration statement in reliance upon the report of KPMG Huazhen LLP, independent registered public accounting firm, appearing elsewhere herein, and upon the authority of said firm as experts in accounting and auditing.</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audit report contains an explanatory paragraph that states that our company has restated its 2019 and 2020 consolidated financial statements to correct errors in the recognition of its share-based compensation expenses.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office of KPMG Huazhen LLP is located at 25th Floor, Tower II, Plaza 66, 1266 Nanjing West Road, Shanghai, People’s Republic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China.</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0980"/>
          </w:cols>
          <w:pgMar w:left="320" w:top="459" w:right="5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filed with the SEC a registration statement on Form F-1, including relevant exhibits and schedules under the Securities Act, with respect to the Class A ordinary shares to be sold in this offering. This prospectus, which constitutes a part of the registration statement on Form F-1, does not contain all of the information contained in the registration statement. You should read the registration statements and the exhibits and schedules thereto for further information with respect to us and our Class A ordinary shares.</w:t>
      </w:r>
    </w:p>
    <w:p>
      <w:pPr>
        <w:spacing w:after="0" w:line="187" w:lineRule="exact"/>
        <w:rPr>
          <w:sz w:val="20"/>
          <w:szCs w:val="20"/>
          <w:color w:val="auto"/>
        </w:rPr>
      </w:pPr>
    </w:p>
    <w:p>
      <w:pPr>
        <w:jc w:val="both"/>
        <w:ind w:left="120" w:right="360" w:firstLine="881"/>
        <w:spacing w:after="0" w:line="311" w:lineRule="auto"/>
        <w:rPr>
          <w:sz w:val="20"/>
          <w:szCs w:val="20"/>
          <w:color w:val="auto"/>
        </w:rPr>
      </w:pPr>
      <w:r>
        <w:rPr>
          <w:rFonts w:ascii="Arial" w:cs="Arial" w:eastAsia="Arial" w:hAnsi="Arial"/>
          <w:sz w:val="16"/>
          <w:szCs w:val="16"/>
          <w:color w:val="auto"/>
        </w:rPr>
        <w:t xml:space="preserve">Immediately upon completion of this offering, we will become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9"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under the Exchange Act requiring the filing of quarterly reports on Form 10-Q or current reports on Form 8-K with the SEC, the rules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1"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However, we are required to file an annual report on Form 20-F within four months of the end of each fiscal year and we intend to publish our results on a quarterly basis. The information we are required to file with or furnish to the SEC will be less extensive and less timely compared to that required to be filed with the SEC by U.S. domestic issuers.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0400" w:type="dxa"/>
            <w:vAlign w:val="bottom"/>
            <w:gridSpan w:val="12"/>
          </w:tcPr>
          <w:p>
            <w:pPr>
              <w:spacing w:after="0"/>
              <w:rPr>
                <w:sz w:val="20"/>
                <w:szCs w:val="20"/>
                <w:color w:val="auto"/>
              </w:rPr>
            </w:pPr>
            <w:r>
              <w:rPr>
                <w:rFonts w:ascii="Arial" w:cs="Arial" w:eastAsia="Arial" w:hAnsi="Arial"/>
                <w:sz w:val="14"/>
                <w:szCs w:val="14"/>
                <w:b w:val="1"/>
                <w:bCs w:val="1"/>
                <w:color w:val="auto"/>
              </w:rPr>
              <w:t>CONTENTS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PAGE(S)</w:t>
            </w:r>
          </w:p>
        </w:tc>
      </w:tr>
      <w:tr>
        <w:trPr>
          <w:trHeight w:val="149"/>
        </w:trPr>
        <w:tc>
          <w:tcPr>
            <w:tcW w:w="800" w:type="dxa"/>
            <w:vAlign w:val="bottom"/>
            <w:tcBorders>
              <w:top w:val="single" w:sz="8" w:color="auto"/>
              <w:bottom w:val="single" w:sz="8" w:color="0000EE"/>
            </w:tcBorders>
          </w:tcPr>
          <w:p>
            <w:pPr>
              <w:spacing w:after="0" w:line="136" w:lineRule="exact"/>
              <w:rPr>
                <w:sz w:val="20"/>
                <w:szCs w:val="20"/>
                <w:color w:val="auto"/>
              </w:rPr>
            </w:pPr>
            <w:r>
              <w:rPr>
                <w:rFonts w:ascii="Arial" w:cs="Arial" w:eastAsia="Arial" w:hAnsi="Arial"/>
                <w:sz w:val="15"/>
                <w:szCs w:val="15"/>
                <w:color w:val="0000EE"/>
              </w:rPr>
              <w:t>Report of</w:t>
            </w:r>
          </w:p>
        </w:tc>
        <w:tc>
          <w:tcPr>
            <w:tcW w:w="3420" w:type="dxa"/>
            <w:vAlign w:val="bottom"/>
            <w:tcBorders>
              <w:bottom w:val="single" w:sz="8" w:color="0000EE"/>
            </w:tcBorders>
            <w:gridSpan w:val="2"/>
          </w:tcPr>
          <w:p>
            <w:pPr>
              <w:spacing w:after="0" w:line="129" w:lineRule="exact"/>
              <w:rPr>
                <w:sz w:val="20"/>
                <w:szCs w:val="20"/>
                <w:color w:val="auto"/>
              </w:rPr>
            </w:pPr>
            <w:r>
              <w:rPr>
                <w:rFonts w:ascii="Arial" w:cs="Arial" w:eastAsia="Arial" w:hAnsi="Arial"/>
                <w:sz w:val="13"/>
                <w:szCs w:val="13"/>
                <w:color w:val="0000EE"/>
              </w:rPr>
              <w:t>Independent Registered Public Accounting Firm</w:t>
            </w:r>
          </w:p>
        </w:tc>
        <w:tc>
          <w:tcPr>
            <w:tcW w:w="6180" w:type="dxa"/>
            <w:vAlign w:val="bottom"/>
            <w:gridSpan w:val="9"/>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2"/>
                <w:szCs w:val="12"/>
                <w:color w:val="auto"/>
              </w:rPr>
            </w:pPr>
          </w:p>
        </w:tc>
      </w:tr>
      <w:tr>
        <w:trPr>
          <w:trHeight w:val="209"/>
        </w:trPr>
        <w:tc>
          <w:tcPr>
            <w:tcW w:w="10400" w:type="dxa"/>
            <w:vAlign w:val="bottom"/>
            <w:gridSpan w:val="12"/>
          </w:tcPr>
          <w:p>
            <w:pPr>
              <w:spacing w:after="0"/>
              <w:rPr>
                <w:sz w:val="20"/>
                <w:szCs w:val="20"/>
                <w:color w:val="auto"/>
              </w:rPr>
            </w:pPr>
            <w:r>
              <w:rPr>
                <w:rFonts w:ascii="Arial" w:cs="Arial" w:eastAsia="Arial" w:hAnsi="Arial"/>
                <w:sz w:val="18"/>
                <w:szCs w:val="18"/>
                <w:color w:val="0000EE"/>
              </w:rPr>
              <w:t>Consolidated Balance Sheets as of December 31, 2020 and 2021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6"/>
        </w:trPr>
        <w:tc>
          <w:tcPr>
            <w:tcW w:w="7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years ended December 31, 2019, 2020 and 2021</w:t>
            </w:r>
          </w:p>
        </w:tc>
        <w:tc>
          <w:tcPr>
            <w:tcW w:w="262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r>
      <w:tr>
        <w:trPr>
          <w:trHeight w:val="196"/>
        </w:trPr>
        <w:tc>
          <w:tcPr>
            <w:tcW w:w="84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Consolidated Statements of Changes in Shareholders’ Equity for the years ended December 31, 2019, 2020 and 2021</w:t>
            </w:r>
          </w:p>
        </w:tc>
        <w:tc>
          <w:tcPr>
            <w:tcW w:w="196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r>
      <w:tr>
        <w:trPr>
          <w:trHeight w:val="196"/>
        </w:trPr>
        <w:tc>
          <w:tcPr>
            <w:tcW w:w="1040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Statements of Cash Flows for the years ended December 31, 2019, 2020 and 2021</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r>
      <w:tr>
        <w:trPr>
          <w:trHeight w:val="196"/>
        </w:trPr>
        <w:tc>
          <w:tcPr>
            <w:tcW w:w="69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5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r>
      <w:tr>
        <w:trPr>
          <w:trHeight w:val="20"/>
        </w:trPr>
        <w:tc>
          <w:tcPr>
            <w:tcW w:w="8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800" w:type="dxa"/>
            <w:vAlign w:val="bottom"/>
          </w:tcPr>
          <w:p>
            <w:pPr>
              <w:spacing w:after="0"/>
              <w:rPr>
                <w:sz w:val="24"/>
                <w:szCs w:val="24"/>
                <w:color w:val="auto"/>
              </w:rPr>
            </w:pPr>
          </w:p>
        </w:tc>
        <w:tc>
          <w:tcPr>
            <w:tcW w:w="9600" w:type="dxa"/>
            <w:vAlign w:val="bottom"/>
            <w:gridSpan w:val="11"/>
          </w:tcPr>
          <w:p>
            <w:pPr>
              <w:jc w:val="center"/>
              <w:ind w:right="180"/>
              <w:spacing w:after="0"/>
              <w:rPr>
                <w:sz w:val="20"/>
                <w:szCs w:val="20"/>
                <w:color w:val="auto"/>
              </w:rPr>
            </w:pPr>
            <w:r>
              <w:rPr>
                <w:rFonts w:ascii="Arial" w:cs="Arial" w:eastAsia="Arial" w:hAnsi="Arial"/>
                <w:sz w:val="18"/>
                <w:szCs w:val="18"/>
                <w:b w:val="1"/>
                <w:bCs w:val="1"/>
                <w:color w:val="auto"/>
                <w:w w:val="89"/>
              </w:rPr>
              <w:t>Index to the Unaudited Condensed Consolidated 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10400" w:type="dxa"/>
            <w:vAlign w:val="bottom"/>
            <w:gridSpan w:val="12"/>
          </w:tcPr>
          <w:p>
            <w:pPr>
              <w:spacing w:after="0"/>
              <w:rPr>
                <w:sz w:val="20"/>
                <w:szCs w:val="20"/>
                <w:color w:val="auto"/>
              </w:rPr>
            </w:pPr>
            <w:r>
              <w:rPr>
                <w:rFonts w:ascii="Arial" w:cs="Arial" w:eastAsia="Arial" w:hAnsi="Arial"/>
                <w:sz w:val="14"/>
                <w:szCs w:val="14"/>
                <w:b w:val="1"/>
                <w:bCs w:val="1"/>
                <w:color w:val="auto"/>
              </w:rPr>
              <w:t>CONTENTS</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PAGE(S)</w:t>
            </w:r>
          </w:p>
        </w:tc>
      </w:tr>
      <w:tr>
        <w:trPr>
          <w:trHeight w:val="149"/>
        </w:trPr>
        <w:tc>
          <w:tcPr>
            <w:tcW w:w="800" w:type="dxa"/>
            <w:vAlign w:val="bottom"/>
            <w:tcBorders>
              <w:top w:val="single" w:sz="8" w:color="auto"/>
              <w:bottom w:val="single" w:sz="8" w:color="0000EE"/>
            </w:tcBorders>
          </w:tcPr>
          <w:p>
            <w:pPr>
              <w:spacing w:after="0" w:line="136" w:lineRule="exact"/>
              <w:rPr>
                <w:sz w:val="20"/>
                <w:szCs w:val="20"/>
                <w:color w:val="auto"/>
              </w:rPr>
            </w:pPr>
            <w:r>
              <w:rPr>
                <w:rFonts w:ascii="Arial" w:cs="Arial" w:eastAsia="Arial" w:hAnsi="Arial"/>
                <w:sz w:val="15"/>
                <w:szCs w:val="15"/>
                <w:color w:val="0000EE"/>
              </w:rPr>
              <w:t>Unaudited</w:t>
            </w:r>
          </w:p>
        </w:tc>
        <w:tc>
          <w:tcPr>
            <w:tcW w:w="6320" w:type="dxa"/>
            <w:vAlign w:val="bottom"/>
            <w:tcBorders>
              <w:bottom w:val="single" w:sz="8" w:color="0000EE"/>
            </w:tcBorders>
            <w:gridSpan w:val="6"/>
          </w:tcPr>
          <w:p>
            <w:pPr>
              <w:spacing w:after="0" w:line="129" w:lineRule="exact"/>
              <w:rPr>
                <w:sz w:val="20"/>
                <w:szCs w:val="20"/>
                <w:color w:val="auto"/>
              </w:rPr>
            </w:pPr>
            <w:r>
              <w:rPr>
                <w:rFonts w:ascii="Arial" w:cs="Arial" w:eastAsia="Arial" w:hAnsi="Arial"/>
                <w:sz w:val="13"/>
                <w:szCs w:val="13"/>
                <w:color w:val="0000EE"/>
              </w:rPr>
              <w:t>Condensed Consolidated Balance Sheets as of December 31, 2021 and March 31, 2022</w:t>
            </w:r>
          </w:p>
        </w:tc>
        <w:tc>
          <w:tcPr>
            <w:tcW w:w="3280" w:type="dxa"/>
            <w:vAlign w:val="bottom"/>
            <w:gridSpan w:val="5"/>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F-52</w:t>
            </w:r>
          </w:p>
        </w:tc>
        <w:tc>
          <w:tcPr>
            <w:tcW w:w="20" w:type="dxa"/>
            <w:vAlign w:val="bottom"/>
          </w:tcPr>
          <w:p>
            <w:pPr>
              <w:spacing w:after="0"/>
              <w:rPr>
                <w:sz w:val="12"/>
                <w:szCs w:val="12"/>
                <w:color w:val="auto"/>
              </w:rPr>
            </w:pPr>
          </w:p>
        </w:tc>
      </w:tr>
      <w:tr>
        <w:trPr>
          <w:trHeight w:val="210"/>
        </w:trPr>
        <w:tc>
          <w:tcPr>
            <w:tcW w:w="10400" w:type="dxa"/>
            <w:vAlign w:val="bottom"/>
            <w:gridSpan w:val="12"/>
          </w:tcPr>
          <w:p>
            <w:pPr>
              <w:spacing w:after="0"/>
              <w:rPr>
                <w:sz w:val="20"/>
                <w:szCs w:val="20"/>
                <w:color w:val="auto"/>
              </w:rPr>
            </w:pPr>
            <w:r>
              <w:rPr>
                <w:rFonts w:ascii="Arial" w:cs="Arial" w:eastAsia="Arial" w:hAnsi="Arial"/>
                <w:sz w:val="18"/>
                <w:szCs w:val="18"/>
                <w:color w:val="0000EE"/>
              </w:rPr>
              <w:t>Unaudited Condensed Consolidated Statements of Comprehensive Income for the three months ended March 31, 2021 and 2022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F-55</w:t>
            </w:r>
          </w:p>
        </w:tc>
      </w:tr>
      <w:tr>
        <w:trPr>
          <w:trHeight w:val="196"/>
        </w:trPr>
        <w:tc>
          <w:tcPr>
            <w:tcW w:w="83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Unaudited Condensed Consolidated Statements of Cash Flows for the three months ended March 31, 2021 and 2022</w:t>
            </w:r>
          </w:p>
        </w:tc>
        <w:tc>
          <w:tcPr>
            <w:tcW w:w="860" w:type="dxa"/>
            <w:vAlign w:val="bottom"/>
            <w:tcBorders>
              <w:top w:val="single" w:sz="8" w:color="0000EE"/>
            </w:tcBorders>
            <w:gridSpan w:val="2"/>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F-57</w:t>
            </w:r>
          </w:p>
        </w:tc>
      </w:tr>
      <w:tr>
        <w:trPr>
          <w:trHeight w:val="196"/>
        </w:trPr>
        <w:tc>
          <w:tcPr>
            <w:tcW w:w="10400" w:type="dxa"/>
            <w:vAlign w:val="bottom"/>
            <w:gridSpan w:val="12"/>
          </w:tcPr>
          <w:p>
            <w:pPr>
              <w:spacing w:after="0" w:line="196" w:lineRule="exact"/>
              <w:rPr>
                <w:sz w:val="20"/>
                <w:szCs w:val="20"/>
                <w:color w:val="auto"/>
              </w:rPr>
            </w:pPr>
            <w:r>
              <w:rPr>
                <w:rFonts w:ascii="Arial" w:cs="Arial" w:eastAsia="Arial" w:hAnsi="Arial"/>
                <w:sz w:val="18"/>
                <w:szCs w:val="18"/>
                <w:color w:val="0000EE"/>
              </w:rPr>
              <w:t>Notes to Unaudited Condensed Consolidated Financial Statements</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F-59</w:t>
            </w:r>
          </w:p>
        </w:tc>
      </w:tr>
      <w:tr>
        <w:trPr>
          <w:trHeight w:val="385"/>
        </w:trPr>
        <w:tc>
          <w:tcPr>
            <w:tcW w:w="80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20" w:type="dxa"/>
            <w:vAlign w:val="bottom"/>
            <w:gridSpan w:val="7"/>
          </w:tcPr>
          <w:p>
            <w:pPr>
              <w:jc w:val="center"/>
              <w:ind w:right="4180"/>
              <w:spacing w:after="0"/>
              <w:rPr>
                <w:sz w:val="20"/>
                <w:szCs w:val="20"/>
                <w:color w:val="auto"/>
              </w:rPr>
            </w:pPr>
            <w:r>
              <w:rPr>
                <w:rFonts w:ascii="Arial" w:cs="Arial" w:eastAsia="Arial" w:hAnsi="Arial"/>
                <w:sz w:val="18"/>
                <w:szCs w:val="18"/>
                <w:color w:val="auto"/>
                <w:w w:val="88"/>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GigaCloud Technology Inc: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audited the accompanying consolidated balance sheets of GigaCloud Technology Inc, subsidiaries and consolidated VIEs (the Company) as of December 31, 2020 and 2021, the related consolidated statements of comprehensive income, changes in shareholders’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2020 and 2021, and the results of its operations and its cash flows for each of the years in the three-year period ended December 31, 2021, in conformity with U.S. generally accepted accounting principles.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As discussed in Note 2(c) to the consolidated financial statements, the Company has restated its 2019 and 2020 consolidated financial statements to correct errors in the recognition of its share-based compensation expenses.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120" w:right="20" w:firstLine="88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Huazhen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Shanghai, People’s Republic of China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15, 2022, except for the share consolidation described in Note 2(b),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to which, the date is July 8, 2022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2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w:t>
            </w: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Restated</w:t>
            </w: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2(h)</w:t>
            </w: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61,542</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63,198</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Restricted cash</w:t>
            </w: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2(i)</w:t>
            </w: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655</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24,020</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Inventories</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35,578</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81,441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10,574</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132,369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172,419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5,941</w:t>
            </w:r>
          </w:p>
        </w:tc>
        <w:tc>
          <w:tcPr>
            <w:tcW w:w="24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5,974</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14,358</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138,343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186,777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9"/>
        </w:trPr>
        <w:tc>
          <w:tcPr>
            <w:tcW w:w="902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Restated</w:t>
            </w: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Current portion of long-term borrowings (including current portion of long-term borrowings of VIEs without recourse to</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Company of US$7 and nil as of December 31, 2020 and 2021, respectively)</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392</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auto"/>
                <w:w w:val="94"/>
              </w:rPr>
              <w:t>Accounts payable (including accounts payable of VIEs without recourse to the Company of US$783 and US$1,433 as of</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80"/>
              <w:spacing w:after="0"/>
              <w:rPr>
                <w:sz w:val="20"/>
                <w:szCs w:val="20"/>
                <w:color w:val="auto"/>
              </w:rPr>
            </w:pPr>
            <w:r>
              <w:rPr>
                <w:rFonts w:ascii="Arial" w:cs="Arial" w:eastAsia="Arial" w:hAnsi="Arial"/>
                <w:sz w:val="18"/>
                <w:szCs w:val="18"/>
                <w:color w:val="auto"/>
              </w:rPr>
              <w:t>December 31, 2020 and 2021, respectively)</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18,831</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25,140</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Contract liabilities (including contract liabilities of VIEs without recourse to the Company of US$419 and US$394 as of</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2021, respectively)</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3,424</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auto"/>
                <w:w w:val="94"/>
              </w:rPr>
              <w:t>Income tax payable (including income tax payable of VIEs without recourse to the Company of US$74 and US$78 as of</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80"/>
              <w:spacing w:after="0"/>
              <w:rPr>
                <w:sz w:val="20"/>
                <w:szCs w:val="20"/>
                <w:color w:val="auto"/>
              </w:rPr>
            </w:pPr>
            <w:r>
              <w:rPr>
                <w:rFonts w:ascii="Arial" w:cs="Arial" w:eastAsia="Arial" w:hAnsi="Arial"/>
                <w:sz w:val="18"/>
                <w:szCs w:val="18"/>
                <w:color w:val="auto"/>
              </w:rPr>
              <w:t>December 31, 2020 and 2021, respectively)</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7,998</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expenses and other current liabilities (including accrued expenses and other current liabilities of VIEs without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recourse to the Company of US$607 and US$341 as of December 31, 2020 and 2021, respectively)</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18,262</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19,721</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48,907</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57,044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tcPr>
          <w:p>
            <w:pPr>
              <w:spacing w:after="0" w:line="201" w:lineRule="exact"/>
              <w:rPr>
                <w:sz w:val="20"/>
                <w:szCs w:val="20"/>
                <w:color w:val="auto"/>
              </w:rPr>
            </w:pPr>
            <w:r>
              <w:rPr>
                <w:rFonts w:ascii="Arial" w:cs="Arial" w:eastAsia="Arial" w:hAnsi="Arial"/>
                <w:sz w:val="18"/>
                <w:szCs w:val="18"/>
                <w:color w:val="auto"/>
                <w:w w:val="95"/>
              </w:rPr>
              <w:t>Long-term borrowings (including long-term borrowings of VIEs without recourse to the Company of US$61 and nil as of</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80"/>
              <w:spacing w:after="0"/>
              <w:rPr>
                <w:sz w:val="20"/>
                <w:szCs w:val="20"/>
                <w:color w:val="auto"/>
              </w:rPr>
            </w:pPr>
            <w:r>
              <w:rPr>
                <w:rFonts w:ascii="Arial" w:cs="Arial" w:eastAsia="Arial" w:hAnsi="Arial"/>
                <w:sz w:val="18"/>
                <w:szCs w:val="18"/>
                <w:color w:val="auto"/>
              </w:rPr>
              <w:t>December 31, 2020 and 2021, respectively)</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711</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1,838</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payable</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2,665</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3,901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51,572</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60,945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5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020" w:type="dxa"/>
            <w:vAlign w:val="bottom"/>
          </w:tcPr>
          <w:p>
            <w:pPr>
              <w:ind w:left="5380"/>
              <w:spacing w:after="0"/>
              <w:rPr>
                <w:sz w:val="20"/>
                <w:szCs w:val="20"/>
                <w:color w:val="auto"/>
              </w:rPr>
            </w:pPr>
            <w:r>
              <w:rPr>
                <w:rFonts w:ascii="Arial" w:cs="Arial" w:eastAsia="Arial" w:hAnsi="Arial"/>
                <w:sz w:val="18"/>
                <w:szCs w:val="18"/>
                <w:color w:val="auto"/>
              </w:rPr>
              <w:t>F-4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780" w:type="dxa"/>
            <w:vAlign w:val="bottom"/>
          </w:tcPr>
          <w:p>
            <w:pPr>
              <w:spacing w:after="0"/>
              <w:rPr>
                <w:sz w:val="10"/>
                <w:szCs w:val="10"/>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3"/>
              </w:rPr>
              <w:t>Note</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Restated</w:t>
            </w:r>
          </w:p>
        </w:tc>
        <w:tc>
          <w:tcPr>
            <w:tcW w:w="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Series E Preferred Shares (US$0.05 par value per share, 3,999,709 shares authorized, issued and outstanding;</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80"/>
              <w:spacing w:after="0"/>
              <w:rPr>
                <w:sz w:val="20"/>
                <w:szCs w:val="20"/>
                <w:color w:val="auto"/>
              </w:rPr>
            </w:pPr>
            <w:r>
              <w:rPr>
                <w:rFonts w:ascii="Arial" w:cs="Arial" w:eastAsia="Arial" w:hAnsi="Arial"/>
                <w:sz w:val="18"/>
                <w:szCs w:val="18"/>
                <w:color w:val="auto"/>
                <w:w w:val="92"/>
              </w:rPr>
              <w:t>Redemption value of US$25,152 and US$26,652 as of December 31, 2020 and 2021, respectively; Liquidation value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of US$25,000 and US$25,000 as of December 31, 2020 and 2021, respectively)</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25,152</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26,652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25,152</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26,652</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Ordinary shares (US$0.05 par value per share, 38,572,025 shares authorized; 9,495,844 and 11,082,930 issued and</w:t>
            </w:r>
          </w:p>
        </w:tc>
        <w:tc>
          <w:tcPr>
            <w:tcW w:w="2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2020 and 2021, respectively)</w:t>
            </w:r>
          </w:p>
        </w:tc>
        <w:tc>
          <w:tcPr>
            <w:tcW w:w="6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Subscription receivable from ordinary shares</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A Preferred Shares (US$0.05 par value per share, 134,190 shares authorized, issued and outstanding; Liquidation</w:t>
            </w:r>
          </w:p>
        </w:tc>
        <w:tc>
          <w:tcPr>
            <w:tcW w:w="2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US$6,710 and US$6,710 as of December 31, 2020 and 2021, respectively)</w:t>
            </w:r>
          </w:p>
        </w:tc>
        <w:tc>
          <w:tcPr>
            <w:tcW w:w="6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Series B Preferred Shares (US$0.05 par value per share, 9,991,588 shares authorized, issued and outstanding;</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Liquidation value of US$5,000 and US$5,000 as of December 31, 2020 and 2021, respectively)</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98"/>
              </w:rPr>
              <w:t>Series C Preferred Shares (US$0.05 par value per share, 4,358,702 shares authorized, issued and outstanding)</w:t>
            </w:r>
          </w:p>
        </w:tc>
        <w:tc>
          <w:tcPr>
            <w:tcW w:w="6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Series D Preferred Shares (US$0.05 par value per share, 2,943,786 shares authorized, issued and outstanding;</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Liquidation value of US$8,053 and US$8,053 as of December 31, 2020 and 2021, respectively)</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27,758</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37,439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32,802</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60,559</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61,619</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99,180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138,343</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186,777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84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Restated</w:t>
            </w: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Service revenues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15,151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60,130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98,332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107,145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215,348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315,865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122,296</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275,478</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414,197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Services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(37,147)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(84,723)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(239,877)</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(100,102)</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(200,362)</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(324,600)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22,194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75,116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89,597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(4,712)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(8,717)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(24,516)</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(30,932)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(50,244)</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4,802</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44,184</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gains (losses),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Others,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45,275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37,725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(1,945)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37,455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29,257</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Accretion of Redeemable Convertible Preferred Shares</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ordinary shareholders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2,857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37,303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27,757</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nil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other comprehensive income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2,803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37,091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29,380</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ordinary share</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198"/>
        </w:trPr>
        <w:tc>
          <w:tcPr>
            <w:tcW w:w="736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Weighted average number of ordinary shares outstanding used in computing net income per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180"/>
              <w:spacing w:after="0"/>
              <w:rPr>
                <w:sz w:val="20"/>
                <w:szCs w:val="20"/>
                <w:color w:val="auto"/>
              </w:rPr>
            </w:pPr>
            <w:r>
              <w:rPr>
                <w:rFonts w:ascii="Arial" w:cs="Arial" w:eastAsia="Arial" w:hAnsi="Arial"/>
                <w:sz w:val="18"/>
                <w:szCs w:val="18"/>
                <w:b w:val="1"/>
                <w:bCs w:val="1"/>
                <w:color w:val="auto"/>
              </w:rPr>
              <w:t>ordinary share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9,495,844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9,495,844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10,248,079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Subscription</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receivable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1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from</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Ordinary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ordinary</w:t>
            </w:r>
          </w:p>
        </w:tc>
        <w:tc>
          <w:tcPr>
            <w:tcW w:w="900" w:type="dxa"/>
            <w:vAlign w:val="bottom"/>
            <w:gridSpan w:val="2"/>
          </w:tcPr>
          <w:p>
            <w:pPr>
              <w:ind w:left="300"/>
              <w:spacing w:after="0"/>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paid-in</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retained</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shareholders’</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Note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shares</w:t>
            </w:r>
          </w:p>
        </w:tc>
        <w:tc>
          <w:tcPr>
            <w:tcW w:w="900" w:type="dxa"/>
            <w:vAlign w:val="bottom"/>
            <w:gridSpan w:val="2"/>
          </w:tcPr>
          <w:p>
            <w:pPr>
              <w:ind w:left="40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income</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earnings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5"/>
              </w:rPr>
              <w:t>Number of</w:t>
            </w:r>
          </w:p>
        </w:tc>
        <w:tc>
          <w:tcPr>
            <w:tcW w:w="2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rPr>
              <w:t>Number of</w:t>
            </w:r>
          </w:p>
        </w:tc>
        <w:tc>
          <w:tcPr>
            <w:tcW w:w="2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ordinary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shares</w:t>
            </w:r>
          </w:p>
        </w:tc>
        <w:tc>
          <w:tcPr>
            <w:tcW w:w="460" w:type="dxa"/>
            <w:vAlign w:val="bottom"/>
            <w:gridSpan w:val="2"/>
          </w:tcPr>
          <w:p>
            <w:pPr>
              <w:ind w:left="20"/>
              <w:spacing w:after="0"/>
              <w:rPr>
                <w:sz w:val="20"/>
                <w:szCs w:val="20"/>
                <w:color w:val="auto"/>
              </w:rPr>
            </w:pPr>
            <w:r>
              <w:rPr>
                <w:rFonts w:ascii="Arial" w:cs="Arial" w:eastAsia="Arial" w:hAnsi="Arial"/>
                <w:sz w:val="13"/>
                <w:szCs w:val="13"/>
                <w:b w:val="1"/>
                <w:bCs w:val="1"/>
                <w:color w:val="auto"/>
              </w:rPr>
              <w:t>US$</w:t>
            </w: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US$</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US$</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US$</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US$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US$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US$</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1, 2019 (restated)</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9,495,844</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475</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17,428,266</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872</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30,193</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130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(7,358)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24,312</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2,857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currency translation adjustment, net of</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nil income taxes</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w w:val="99"/>
              </w:rPr>
              <w:t>Balance as of December 31, 2019 (restated)</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9,495,844</w:t>
            </w: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475</w:t>
            </w:r>
          </w:p>
        </w:tc>
        <w:tc>
          <w:tcPr>
            <w:tcW w:w="10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17,428,266</w:t>
            </w: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872</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30,193</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76</w:t>
            </w:r>
          </w:p>
        </w:tc>
        <w:tc>
          <w:tcPr>
            <w:tcW w:w="11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(4,501)</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27,115</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(restated)</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37,455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37,455</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20"/>
                <w:szCs w:val="20"/>
                <w:color w:val="auto"/>
              </w:rPr>
            </w:pPr>
            <w:r>
              <w:rPr>
                <w:rFonts w:ascii="Arial" w:cs="Arial" w:eastAsia="Arial" w:hAnsi="Arial"/>
                <w:sz w:val="14"/>
                <w:szCs w:val="14"/>
                <w:color w:val="auto"/>
              </w:rPr>
              <w:t>Repurchase of vested share-based awards</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(2,435)</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Series E Preferred Shares</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(152)</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0"/>
        </w:trPr>
        <w:tc>
          <w:tcPr>
            <w:tcW w:w="288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 adjustment, net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140"/>
              <w:spacing w:after="0"/>
              <w:rPr>
                <w:sz w:val="20"/>
                <w:szCs w:val="20"/>
                <w:color w:val="auto"/>
              </w:rPr>
            </w:pPr>
            <w:r>
              <w:rPr>
                <w:rFonts w:ascii="Arial" w:cs="Arial" w:eastAsia="Arial" w:hAnsi="Arial"/>
                <w:sz w:val="14"/>
                <w:szCs w:val="14"/>
                <w:color w:val="auto"/>
              </w:rPr>
              <w:t>nil income taxes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Balance as of December 31, 2020 (restated)</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9,495,844</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475</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17,428,266</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872</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27,758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(288)</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32,802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61,619</w:t>
            </w:r>
          </w:p>
        </w:tc>
        <w:tc>
          <w:tcPr>
            <w:tcW w:w="0" w:type="dxa"/>
            <w:vAlign w:val="bottom"/>
          </w:tcPr>
          <w:p>
            <w:pPr>
              <w:spacing w:after="0"/>
              <w:rPr>
                <w:sz w:val="1"/>
                <w:szCs w:val="1"/>
                <w:color w:val="auto"/>
              </w:rPr>
            </w:pPr>
          </w:p>
        </w:tc>
      </w:tr>
      <w:tr>
        <w:trPr>
          <w:trHeight w:val="156"/>
        </w:trPr>
        <w:tc>
          <w:tcPr>
            <w:tcW w:w="2880" w:type="dxa"/>
            <w:vAlign w:val="bottom"/>
          </w:tcPr>
          <w:p>
            <w:pPr>
              <w:spacing w:after="0" w:line="155" w:lineRule="exact"/>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29,257</w:t>
            </w:r>
          </w:p>
        </w:tc>
        <w:tc>
          <w:tcPr>
            <w:tcW w:w="26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29,257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9,681</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9,681</w:t>
            </w: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Arial" w:cs="Arial" w:eastAsia="Arial" w:hAnsi="Arial"/>
                <w:sz w:val="14"/>
                <w:szCs w:val="14"/>
                <w:color w:val="auto"/>
              </w:rPr>
              <w:t>Accretion of Series E Preferred Shares</w:t>
            </w:r>
          </w:p>
        </w:tc>
        <w:tc>
          <w:tcPr>
            <w:tcW w:w="4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Excise of vested share-based awards</w:t>
            </w:r>
          </w:p>
        </w:tc>
        <w:tc>
          <w:tcPr>
            <w:tcW w:w="4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1,587,086</w:t>
            </w:r>
          </w:p>
        </w:tc>
        <w:tc>
          <w:tcPr>
            <w:tcW w:w="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79</w:t>
            </w: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(79)</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8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 adjustment, net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80" w:type="dxa"/>
            <w:vAlign w:val="bottom"/>
          </w:tcPr>
          <w:p>
            <w:pPr>
              <w:ind w:left="140"/>
              <w:spacing w:after="0"/>
              <w:rPr>
                <w:sz w:val="20"/>
                <w:szCs w:val="20"/>
                <w:color w:val="auto"/>
              </w:rPr>
            </w:pPr>
            <w:r>
              <w:rPr>
                <w:rFonts w:ascii="Arial" w:cs="Arial" w:eastAsia="Arial" w:hAnsi="Arial"/>
                <w:sz w:val="14"/>
                <w:szCs w:val="14"/>
                <w:color w:val="auto"/>
              </w:rPr>
              <w:t>nil income taxes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w w:val="85"/>
              </w:rPr>
              <w:t>123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2021</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4"/>
              </w:rPr>
              <w:t>11,082,930</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554</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(79)</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17,428,266</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872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37,439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(165)</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60,559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99,180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ind w:left="9080"/>
        <w:spacing w:after="0" w:line="234"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858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Restated</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5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2,857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37,455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write-down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Deferred tax</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on long-term investment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Loss from disposal of property and equipment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currency exchange gains (losses)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Interest expense of capital lease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(10,119)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(47,148)</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(5,243)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3,062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33,284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8,556</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purchase of property and equipment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color w:val="auto"/>
              </w:rPr>
              <w:t>Cash received from disposal of property and equipment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(647)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8580" w:type="dxa"/>
            <w:vAlign w:val="bottom"/>
          </w:tcPr>
          <w:p>
            <w:pPr>
              <w:spacing w:after="0"/>
              <w:rPr>
                <w:sz w:val="10"/>
                <w:szCs w:val="10"/>
                <w:color w:val="auto"/>
              </w:rPr>
            </w:pPr>
          </w:p>
        </w:tc>
        <w:tc>
          <w:tcPr>
            <w:tcW w:w="5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Restated</w:t>
            </w: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Proceeds from issuance of Series E Preferred Shares</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capital lease obligations</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Repurchase of vested share-based awards</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(2,435)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of borrowings from a related party</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Repayment of borrowings from a related party</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bank loans</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Repayment of bank loans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23,272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(2,956)</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Effect of foreign currency exchange rate changes on cash and restricted cash</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139</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restricted cash</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441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56,644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1,665</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Cash and restricted cash at the beginning of the year</w:t>
            </w: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5,112</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at the end of the year</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5,553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62,197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63,862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paid</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taxes paid</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1,658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Purchase of property and equipment included in capital lease obligations</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2,930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07" w:lineRule="exact"/>
        <w:rPr>
          <w:sz w:val="20"/>
          <w:szCs w:val="20"/>
          <w:color w:val="auto"/>
        </w:rPr>
      </w:pPr>
    </w:p>
    <w:p>
      <w:pPr>
        <w:ind w:left="120" w:right="6440" w:hanging="4"/>
        <w:spacing w:after="0" w:line="503" w:lineRule="auto"/>
        <w:tabs>
          <w:tab w:leader="none" w:pos="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ORGANIZATION Description of Business</w:t>
      </w:r>
    </w:p>
    <w:p>
      <w:pPr>
        <w:ind w:left="120" w:right="100" w:firstLine="881"/>
        <w:spacing w:after="0" w:line="279" w:lineRule="auto"/>
        <w:rPr>
          <w:sz w:val="20"/>
          <w:szCs w:val="20"/>
          <w:color w:val="auto"/>
        </w:rPr>
      </w:pPr>
      <w:r>
        <w:rPr>
          <w:rFonts w:ascii="Arial" w:cs="Arial" w:eastAsia="Arial" w:hAnsi="Arial"/>
          <w:sz w:val="17"/>
          <w:szCs w:val="17"/>
          <w:color w:val="auto"/>
        </w:rPr>
        <w:t>GigaCloud Technology Inc (the “Company”, formerly known as Oriental Standard Human Resources Holdings Limited), a limited liability company in the Cayman Islands, with its subsidiaries and consolidated variable interest entities (“VIEs”) (collectively referred to as the “Group”) are principally engaged in large parcel merchandise sales and the provision of ecommerce solutions for small cross-border business owners utilizing the Company’s online platform (“GigaCloud Marketplace”) and warehouses primarily in the United States and Europe.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accompanying consolidated financial statements include the financial statements of the Company, its subsidiaries and consolidated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VIEs.</w:t>
      </w:r>
    </w:p>
    <w:p>
      <w:pPr>
        <w:spacing w:after="0" w:line="211"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In 2017 and 2018, the Company entered into Account Control Agreements with its VIEs and their respective nominal shareholders in the United States, Japan, the United Kingdom, Germany and the People’s Republic of China (“China” or “PRC”), respectively, to facilitate operations in these jurisdictions.</w:t>
      </w:r>
    </w:p>
    <w:p>
      <w:pPr>
        <w:spacing w:after="0" w:line="184" w:lineRule="exact"/>
        <w:rPr>
          <w:sz w:val="20"/>
          <w:szCs w:val="20"/>
          <w:color w:val="auto"/>
        </w:rPr>
      </w:pPr>
    </w:p>
    <w:p>
      <w:pPr>
        <w:jc w:val="both"/>
        <w:ind w:left="120" w:right="100" w:firstLine="881"/>
        <w:spacing w:after="0" w:line="287" w:lineRule="auto"/>
        <w:rPr>
          <w:sz w:val="20"/>
          <w:szCs w:val="20"/>
          <w:color w:val="auto"/>
        </w:rPr>
      </w:pPr>
      <w:r>
        <w:rPr>
          <w:rFonts w:ascii="Arial" w:cs="Arial" w:eastAsia="Arial" w:hAnsi="Arial"/>
          <w:sz w:val="16"/>
          <w:szCs w:val="16"/>
          <w:color w:val="auto"/>
        </w:rPr>
        <w:t>The functions of the VIEs include operating accounts registered on third-party ecommerce websites to sell merchandise to local individual customers, or providing warehousing and logistic services to users’ registered on GigaCloud Marketplace, by utilizing the Group’s cross-border trading experience, international logistic network and the Company’s own online platform. All of the VIEs’ nominal shareholders are employees of the Group.</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The Company has funded, through either direct capital contribution or intercompany loans, substantially all of the VIEs’ capital and operation fund. The Company has information right, management right and control right of daily operation of the VIEs.</w:t>
      </w:r>
    </w:p>
    <w:p>
      <w:pPr>
        <w:spacing w:after="0" w:line="185"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The Account Control Agreements, with the consolidated VIEs and their shareholders, allow the Company to (i) exercise effective control over the consolidated VIEs, (ii) receive substantially all of the economic benefits of the consolidated VIEs, and (iii) have an exclusive option to purchase all or part of the equity interests in the consolidated VIEs when and to the extent permitted by the applicable laws.</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is regarded as the primary beneficiary of the consolidated VIEs, and the Company treats the VIEs as consolidated entities under U.S. GAAP. The Company has consolidated the financial results of the VIEs in the consolidated financial statements in accordance with U.S. GAAP. However, the control over the VIEs through contractual arrangements may not be as effective as direct ownership. In addition, uncertainties exist as to whether the Company’s operation of the business in these jurisdictions through the consolidated VIEs would be found not in compliance with existing or future respective local laws.</w:t>
      </w:r>
    </w:p>
    <w:p>
      <w:pPr>
        <w:spacing w:after="0" w:line="188"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equity interests of the VIEs are legally held by their nominee shareholders. Through the Account Control Agreements, which were entered into among the Company, the VIEs and the nominee shareholders of the VIEs, the nominee shareholders of the VIEs have granted all their legal rights including voting rights and disposition rights of their equity interests in the VIEs to the Company. The nominee shareholders of the VIEs do not participate significantly in income and loss and do not have the power to direct the activities of the VIEs that most significantly impact their economic performance. Accordingly, the VIEs are considered variable interest entities.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Under the terms of the Account Control Agreements, the VIEs’ nominee shareholders have no rights to the net assets nor have the obligations to fund the deficit, and such rights and obligations have been vested to the Company. All of the deficit (net liabilities) and net loss of the VIEs are attributed to the Company.</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principal terms of the Account Control Agreements are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Account Management</w:t>
      </w:r>
    </w:p>
    <w:p>
      <w:pPr>
        <w:spacing w:after="0" w:line="225"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The Company shall be entitled information right, management right and control right of daily operation of the VIEs, especially with respect to all the bank accounts and operating accounts with relevant e-commerce platforms established or to be established in the name of, or for the benefit of the VIEs.</w:t>
      </w:r>
    </w:p>
    <w:p>
      <w:pPr>
        <w:spacing w:after="0" w:line="18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VIEs and their shareholders shall act in good faith under instructions of the Company and shall not damage the control and management of the Company or affect its financial results and consolidation of such result.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Sale and Purchase of Equity Interest</w:t>
      </w:r>
    </w:p>
    <w:p>
      <w:pPr>
        <w:spacing w:after="0" w:line="225"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The Company has irrevocable and exclusive right to purchase the equity interests in the VIEs held by each shareholder of such VIEs, once or at multiple times at any time in part or in whole, at the Company’s sole discretion. Except for the Company and its designee(s), no other person shall be entitled to such option or other rights to purchase the equity interests in the VIEs held by the shareholders of the VIEs.</w:t>
      </w:r>
    </w:p>
    <w:p>
      <w:pPr>
        <w:spacing w:after="0" w:line="165"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The purchase price shall be the minimum price permitted by the local applicable laws. Pursuant to the Account Control Agreements, the VIEs and their shareholders shall not terminate the control agreement unilaterally in any event unless otherwise required by applicable laws.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Power of Attorney</w:t>
      </w:r>
    </w:p>
    <w:p>
      <w:pPr>
        <w:spacing w:after="0" w:line="225"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The Company has sole and exclusive power of attorney to act on behalf of each shareholder of the VIEs with respect to all rights and matters concerning all equity interest held by such shareholder including exercising all of the shareholder’s rights and voting rights; deciding the sale, transfer, pledge or disposition of the shares of the VIEs; representing the shareholder to execute any resolutions and minutes as a shareholder (and director) of the VIEs; approving the amendments to the articles of association without written consent of such shareholder; approving any change of the share capital of the VIEs; appoint directors to the VIEs at the discretion of the Company.</w:t>
      </w:r>
    </w:p>
    <w:p>
      <w:pPr>
        <w:spacing w:after="0" w:line="17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Each shareholder of the VIEs waives all rights with respect to the equity interests in the VIEs held by him/her and shall not exercise such rights by himself/herself.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Equity Pledge</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VIEs’ shareholders agree to pledge all the equity interests to the Company as security for performance of the contract obligations under the Account Control Agreements. The VIEs and their shareholders shall complete all necessary registration and/or filings relating to the equity pledges required by the applicable laws in one month after the execution of the Account Control Agreements.</w:t>
      </w:r>
    </w:p>
    <w:p>
      <w:pPr>
        <w:spacing w:after="0" w:line="184"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During the term of this Account Control Agreement, the VIEs and their shareholders shall deliver the share certificate or the like to the Company’s escrow within one week after the execution of the Account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Agreements. In the event of the occurrence of any change of the share capital or the entrusted shareholding of the VIEs, the VIEs and their shareholders shall update the registration and/or filings relating to the equity pledges required by the applicable laws and deliver the updated share certificate or the like to the Company’s escrow.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Effective Date and Term</w:t>
      </w:r>
    </w:p>
    <w:p>
      <w:pPr>
        <w:spacing w:after="0" w:line="225"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The Account Control Agreements became effective upon execution by the parties, and remain effective until all equity interests held by the VIEs’ shareholders have been transferred or assigned to the Company in accordance with the Account Control Agreements.</w:t>
      </w:r>
    </w:p>
    <w:p>
      <w:pPr>
        <w:spacing w:after="0" w:line="146"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relies on the Account Control Agreements to operate and control VIEs. All of the Account Control Agreements are governed by local laws and provide for the resolution of disputes through arbitration under local laws. Accordingly, these agreements would be interpreted in accordance with local laws and any disputes would be resolved in accordance with local legal procedures. Uncertainties in the local legal system could limit the Company’s ability to enforce these contractual arrangements. In the event that the Company is unable to enforce these contractual arrangements, or if the Company suffers significant time delays or other obstacles in the process of enforcing these Account Control Agreements, it would be difficult to exert effective control over VIEs, and the Company’s ability to conduct its business and the results of operations and financial condition may be materially and adversely affected.</w:t>
      </w:r>
    </w:p>
    <w:p>
      <w:pPr>
        <w:spacing w:after="0" w:line="19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the opinion of management, the ownership structures of the Company and its VIEs, currently and immediately after giving effect to the initial public offering, do not and will not violate any applicable local laws, regulations, or rules currently in effect; the agreements among the Company, each of the VIEs and its shareholders, governed by local laws, as described above, are valid, binding and enforceable in accordance with their terms and applicable local laws, rules, and regulations currently in effect, and both currently and immediately after giving effect to the initial public offering, do not and will not violate any applicable local laws, regulations, or rules currently in effect. However, there are substantial uncertainties regarding the interpretation and application of current and future local laws and regulations. Accordingly, if the local government finds that the contractual arrangements do not comply with its restrictions on foreign ownership of businesses, or if the local government otherwise finds that the Company and the VIEs are in violation of local laws or regulations or lack the necessary permits or licenses to operate the Company’s business, the relevant regulatory authorities would have broad discretion in dealing with such violations, including:</w:t>
      </w:r>
    </w:p>
    <w:p>
      <w:pPr>
        <w:spacing w:after="0" w:line="208" w:lineRule="exact"/>
        <w:rPr>
          <w:sz w:val="20"/>
          <w:szCs w:val="20"/>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revoking the business and operating licenses of the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discontinuing or restricting the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imposing fines or confiscating any of VIEs’ income that they deem to have been obtained through illegal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imposing conditions or requirements with which the Group’s subsidiaries or the VIEs may not be able to comply;</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requiring the Company to restructure the ownership structure or operations, including terminating the contractual arrangements with the VIEs;</w:t>
      </w:r>
    </w:p>
    <w:p>
      <w:pPr>
        <w:spacing w:after="0" w:line="197"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restricting or prohibiting the Company’s use of the proceeds of overseas offering to finance the business and operations in these jurisdictions;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the business.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360" w:firstLine="881"/>
        <w:spacing w:after="0" w:line="259" w:lineRule="auto"/>
        <w:rPr>
          <w:sz w:val="20"/>
          <w:szCs w:val="20"/>
          <w:color w:val="auto"/>
        </w:rPr>
      </w:pPr>
      <w:r>
        <w:rPr>
          <w:rFonts w:ascii="Arial" w:cs="Arial" w:eastAsia="Arial" w:hAnsi="Arial"/>
          <w:sz w:val="18"/>
          <w:szCs w:val="18"/>
          <w:color w:val="auto"/>
        </w:rPr>
        <w:t>If the imposition of any of these penalties or requirement to restructure the Company’s corporate structure causes it to lose the rights to direct the activities of the VIEs or the Company’s right to receive its economic benefits, the Company would no longer be able to consolidate the financial results of the VIEs in its consolidated financial statements. In the opinion of management, the likelihood of deconsolidation of the VIEs is remote based on current facts and circumstances.</w:t>
      </w:r>
    </w:p>
    <w:p>
      <w:pPr>
        <w:spacing w:after="0" w:line="18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February 2021, the Company terminated the Account Control Agreement with one of its consolidated VIEs, Suzhou Dajianyun Transport Co., Ltd. (“Suzhou GigaCloud”). In connection with the termination of the Account Control Agreement, the Company, through its wholly-owned subsidiary GigaCloud Technology (Suzhou) Co., Ltd. (“OS Suzhou”, formerly known as Oriental Standard Network Technology (Suzhou) Co., Ltd.), acquired 100% of the equity interest in Suzhou GigaCloud which then became the Company’s indirect wholly-owned subsidiary.</w:t>
      </w:r>
    </w:p>
    <w:p>
      <w:pPr>
        <w:spacing w:after="0" w:line="17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Company’s involvement with the VIEs under the Account Control Agreements affected the Company’s consolidated financial position, results of operations and cash flows as indicated below. The following consolidated assets and liabilities information of the Group’s VIEs as of December 31, 2020 and 2021, and consolidated revenues, net loss and cash flow information for the years ended December 31, 2019, 2020 and 2021 have been included in the accompanying consolidated financial statements.</w:t>
      </w:r>
    </w:p>
    <w:p>
      <w:pPr>
        <w:spacing w:after="0" w:line="20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8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jc w:val="right"/>
              <w:spacing w:after="0"/>
              <w:rPr>
                <w:sz w:val="20"/>
                <w:szCs w:val="20"/>
                <w:color w:val="auto"/>
              </w:rPr>
            </w:pPr>
            <w:r>
              <w:rPr>
                <w:rFonts w:ascii="Arial" w:cs="Arial" w:eastAsia="Arial" w:hAnsi="Arial"/>
                <w:sz w:val="18"/>
                <w:szCs w:val="18"/>
                <w:color w:val="auto"/>
              </w:rPr>
              <w:t>3,802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spacing w:after="0"/>
              <w:rPr>
                <w:sz w:val="18"/>
                <w:szCs w:val="18"/>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11,191</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19,373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11,672</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783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12,386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19,605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21,851</w:t>
            </w:r>
          </w:p>
        </w:tc>
        <w:tc>
          <w:tcPr>
            <w:tcW w:w="80" w:type="dxa"/>
            <w:vAlign w:val="bottom"/>
            <w:shd w:val="clear" w:color="auto" w:fill="CCEEFF"/>
          </w:tcPr>
          <w:p>
            <w:pPr>
              <w:spacing w:after="0"/>
              <w:rPr>
                <w:sz w:val="18"/>
                <w:szCs w:val="18"/>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21,851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308"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of December 31, 2020 and 2021, amounts due to and due from related parties represent the loans, receivables and payables that the VIEs had with the Company’s consolidated subsidiaries, which were eliminated in the Company’s consolidated financial statements.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6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5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6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2"/>
                <w:szCs w:val="12"/>
                <w:color w:val="auto"/>
              </w:rPr>
            </w:pPr>
          </w:p>
        </w:tc>
        <w:tc>
          <w:tcPr>
            <w:tcW w:w="6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(1,705)</w:t>
            </w: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(355)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2,352</w:t>
            </w:r>
          </w:p>
        </w:tc>
        <w:tc>
          <w:tcPr>
            <w:tcW w:w="3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at the beginning of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40" w:type="dxa"/>
            <w:vAlign w:val="bottom"/>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Cash at the end of the year</w:t>
            </w:r>
          </w:p>
        </w:tc>
        <w:tc>
          <w:tcPr>
            <w:tcW w:w="600" w:type="dxa"/>
            <w:vAlign w:val="bottom"/>
          </w:tcPr>
          <w:p>
            <w:pPr>
              <w:jc w:val="right"/>
              <w:spacing w:after="0"/>
              <w:rPr>
                <w:sz w:val="20"/>
                <w:szCs w:val="20"/>
                <w:color w:val="auto"/>
              </w:rPr>
            </w:pPr>
            <w:r>
              <w:rPr>
                <w:rFonts w:ascii="Arial" w:cs="Arial" w:eastAsia="Arial" w:hAnsi="Arial"/>
                <w:sz w:val="18"/>
                <w:szCs w:val="18"/>
                <w:color w:val="auto"/>
              </w:rPr>
              <w:t>1,818</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4,170</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3,542</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In accordance with VIE Agreements, the Company has the power to direct the activities of the VIEs. Therefore, the Company considers that there are no assets in the VIEs that can be used only to settle obligations of the VIEs. The creditors of VIEs do not have recourse to the general credit of the Company and its wholly-owned subsidiaries.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accompanying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Share Consolidation</w:t>
      </w:r>
    </w:p>
    <w:p>
      <w:pPr>
        <w:spacing w:after="0" w:line="225"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On July 5, 2022, the Company effected a 1-for-500 share consolidation of its issued and unissued ordinary shares, redeemable convertible preferred shares as well as share options and restricted shares under the 2008 Share Incentive Plan and the 2017 Share Incentive Plan. Accordingly, all share and per share amounts for all periods presented in the accompanying consolidated financial statements and notes thereto have been adjusted retroactively, where applicable, to reflect this share consolidation.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Restatement of 2019 and 2020 financial statements</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During the course of preparing the Group’s consolidated financial statements as of and for the year ended December 31, 2021, management realized that, ASC 718 (“ASC 718”) Compensation—Stock Compensation, was not appropriately applied and led to certain errors in its 2019 and 2020 consolidated financial statements in relation to the recognition of its share-based compensation expenses. In particular, with respect to those share awards which contain, in addition to requisite service condition, a performance condition of being exercisable only after the consummation of a qualified initial public offering by the Group. The Group previously inadvertently recognized share-based payment expenses using the straight-line basis over the requisite service period for each separately vesting portion. The Group should have recognized the compensation expenses relating to these share awards vested cumulatively upon the consummation of a qualified initial public offering which is the point when the qualified initial public offering would become probable. As a result, the Group has restated its 2019 and 2020 consolidated financial statements. The effect of the correction of errors in accompany consolidated statement of balance sheet, the consolidated statement of comprehensive income, the consolidated statement of changes in shareholders’ equity and the consolidated statement of cash flows is summarized below. There was no tax impact related to the correction.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December 31, 2019</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5"/>
              </w:rPr>
              <w:t>December 31, 2020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28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Impact of</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8"/>
              </w:rPr>
              <w:t>As Restated</w:t>
            </w:r>
          </w:p>
        </w:tc>
        <w:tc>
          <w:tcPr>
            <w:tcW w:w="360" w:type="dxa"/>
            <w:vAlign w:val="bottom"/>
          </w:tcPr>
          <w:p>
            <w:pPr>
              <w:spacing w:after="0"/>
              <w:rPr>
                <w:sz w:val="10"/>
                <w:szCs w:val="10"/>
                <w:color w:val="auto"/>
              </w:rPr>
            </w:pPr>
          </w:p>
        </w:tc>
        <w:tc>
          <w:tcPr>
            <w:tcW w:w="92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0"/>
                <w:szCs w:val="10"/>
                <w:color w:val="auto"/>
              </w:rPr>
            </w:pP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7"/>
              </w:rPr>
              <w:t>US$</w:t>
            </w:r>
          </w:p>
        </w:tc>
        <w:tc>
          <w:tcPr>
            <w:tcW w:w="400" w:type="dxa"/>
            <w:vAlign w:val="bottom"/>
          </w:tcPr>
          <w:p>
            <w:pPr>
              <w:spacing w:after="0"/>
              <w:rPr>
                <w:sz w:val="13"/>
                <w:szCs w:val="13"/>
                <w:color w:val="auto"/>
              </w:rPr>
            </w:pPr>
          </w:p>
        </w:tc>
        <w:tc>
          <w:tcPr>
            <w:tcW w:w="7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31,718</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30,193</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36,569</w:t>
            </w: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(8,811)</w:t>
            </w:r>
          </w:p>
        </w:tc>
        <w:tc>
          <w:tcPr>
            <w:tcW w:w="860" w:type="dxa"/>
            <w:vAlign w:val="bottom"/>
            <w:gridSpan w:val="4"/>
            <w:shd w:val="clear" w:color="auto" w:fill="CCEEFF"/>
          </w:tcPr>
          <w:p>
            <w:pPr>
              <w:jc w:val="center"/>
              <w:ind w:left="154"/>
              <w:spacing w:after="0"/>
              <w:rPr>
                <w:sz w:val="20"/>
                <w:szCs w:val="20"/>
                <w:color w:val="auto"/>
              </w:rPr>
            </w:pPr>
            <w:r>
              <w:rPr>
                <w:rFonts w:ascii="Arial" w:cs="Arial" w:eastAsia="Arial" w:hAnsi="Arial"/>
                <w:sz w:val="18"/>
                <w:szCs w:val="18"/>
                <w:color w:val="auto"/>
                <w:w w:val="90"/>
              </w:rPr>
              <w:t>27,758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Retained earnings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(6,026)</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1,525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(4,501)</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23,991</w:t>
            </w:r>
          </w:p>
        </w:tc>
        <w:tc>
          <w:tcPr>
            <w:tcW w:w="1420" w:type="dxa"/>
            <w:vAlign w:val="bottom"/>
            <w:gridSpan w:val="5"/>
          </w:tcPr>
          <w:p>
            <w:pPr>
              <w:jc w:val="right"/>
              <w:ind w:right="340"/>
              <w:spacing w:after="0"/>
              <w:rPr>
                <w:sz w:val="20"/>
                <w:szCs w:val="20"/>
                <w:color w:val="auto"/>
              </w:rPr>
            </w:pPr>
            <w:r>
              <w:rPr>
                <w:rFonts w:ascii="Arial" w:cs="Arial" w:eastAsia="Arial" w:hAnsi="Arial"/>
                <w:sz w:val="18"/>
                <w:szCs w:val="18"/>
                <w:color w:val="auto"/>
              </w:rPr>
              <w:t>8,811</w:t>
            </w:r>
          </w:p>
        </w:tc>
        <w:tc>
          <w:tcPr>
            <w:tcW w:w="860" w:type="dxa"/>
            <w:vAlign w:val="bottom"/>
            <w:gridSpan w:val="4"/>
          </w:tcPr>
          <w:p>
            <w:pPr>
              <w:jc w:val="center"/>
              <w:ind w:left="154"/>
              <w:spacing w:after="0"/>
              <w:rPr>
                <w:sz w:val="20"/>
                <w:szCs w:val="20"/>
                <w:color w:val="auto"/>
              </w:rPr>
            </w:pPr>
            <w:r>
              <w:rPr>
                <w:rFonts w:ascii="Arial" w:cs="Arial" w:eastAsia="Arial" w:hAnsi="Arial"/>
                <w:sz w:val="18"/>
                <w:szCs w:val="18"/>
                <w:color w:val="auto"/>
                <w:w w:val="90"/>
              </w:rPr>
              <w:t>32,802</w:t>
            </w:r>
          </w:p>
        </w:tc>
        <w:tc>
          <w:tcPr>
            <w:tcW w:w="0" w:type="dxa"/>
            <w:vAlign w:val="bottom"/>
          </w:tcPr>
          <w:p>
            <w:pPr>
              <w:spacing w:after="0"/>
              <w:rPr>
                <w:sz w:val="1"/>
                <w:szCs w:val="1"/>
                <w:color w:val="auto"/>
              </w:rPr>
            </w:pPr>
          </w:p>
        </w:tc>
      </w:tr>
      <w:tr>
        <w:trPr>
          <w:trHeight w:val="377"/>
        </w:trPr>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00" w:type="dxa"/>
            <w:vAlign w:val="bottom"/>
          </w:tcPr>
          <w:p>
            <w:pPr>
              <w:spacing w:after="0"/>
              <w:rPr>
                <w:sz w:val="10"/>
                <w:szCs w:val="10"/>
                <w:color w:val="auto"/>
              </w:rPr>
            </w:pPr>
          </w:p>
        </w:tc>
        <w:tc>
          <w:tcPr>
            <w:tcW w:w="132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Impact of</w:t>
            </w:r>
          </w:p>
        </w:tc>
        <w:tc>
          <w:tcPr>
            <w:tcW w:w="8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4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129"/>
              <w:spacing w:after="0" w:line="155" w:lineRule="exact"/>
              <w:rPr>
                <w:sz w:val="20"/>
                <w:szCs w:val="20"/>
                <w:color w:val="auto"/>
              </w:rPr>
            </w:pPr>
            <w:r>
              <w:rPr>
                <w:rFonts w:ascii="Arial" w:cs="Arial" w:eastAsia="Arial" w:hAnsi="Arial"/>
                <w:sz w:val="14"/>
                <w:szCs w:val="14"/>
                <w:b w:val="1"/>
                <w:bCs w:val="1"/>
                <w:color w:val="auto"/>
                <w:w w:val="95"/>
              </w:rPr>
              <w:t>US$</w:t>
            </w:r>
          </w:p>
        </w:tc>
        <w:tc>
          <w:tcPr>
            <w:tcW w:w="520" w:type="dxa"/>
            <w:vAlign w:val="bottom"/>
            <w:gridSpan w:val="2"/>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 of Comprehensive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(22,580)</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(22,215)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(15,638)</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6,921</w:t>
            </w: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(38,218)</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(30,932)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37,989</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30,169</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37,455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30,017</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29,805</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—Basic and diluted</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00" w:type="dxa"/>
            <w:vAlign w:val="bottom"/>
          </w:tcPr>
          <w:p>
            <w:pPr>
              <w:spacing w:after="0"/>
              <w:rPr>
                <w:sz w:val="10"/>
                <w:szCs w:val="10"/>
                <w:color w:val="auto"/>
              </w:rPr>
            </w:pPr>
          </w:p>
        </w:tc>
        <w:tc>
          <w:tcPr>
            <w:tcW w:w="132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Impact of</w:t>
            </w:r>
          </w:p>
        </w:tc>
        <w:tc>
          <w:tcPr>
            <w:tcW w:w="8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4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129"/>
              <w:spacing w:after="0" w:line="155" w:lineRule="exact"/>
              <w:rPr>
                <w:sz w:val="20"/>
                <w:szCs w:val="20"/>
                <w:color w:val="auto"/>
              </w:rPr>
            </w:pPr>
            <w:r>
              <w:rPr>
                <w:rFonts w:ascii="Arial" w:cs="Arial" w:eastAsia="Arial" w:hAnsi="Arial"/>
                <w:sz w:val="14"/>
                <w:szCs w:val="14"/>
                <w:b w:val="1"/>
                <w:bCs w:val="1"/>
                <w:color w:val="auto"/>
                <w:w w:val="95"/>
              </w:rPr>
              <w:t>US$</w:t>
            </w:r>
          </w:p>
        </w:tc>
        <w:tc>
          <w:tcPr>
            <w:tcW w:w="520" w:type="dxa"/>
            <w:vAlign w:val="bottom"/>
            <w:gridSpan w:val="2"/>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 of Changes in Shareholders’ Equity:</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30,169</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37,455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(7,286)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4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5"/>
        </w:trPr>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00" w:type="dxa"/>
            <w:vAlign w:val="bottom"/>
          </w:tcPr>
          <w:p>
            <w:pPr>
              <w:spacing w:after="0"/>
              <w:rPr>
                <w:sz w:val="10"/>
                <w:szCs w:val="10"/>
                <w:color w:val="auto"/>
              </w:rPr>
            </w:pPr>
          </w:p>
        </w:tc>
        <w:tc>
          <w:tcPr>
            <w:tcW w:w="132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Impact of</w:t>
            </w:r>
          </w:p>
        </w:tc>
        <w:tc>
          <w:tcPr>
            <w:tcW w:w="8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4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center"/>
              <w:ind w:right="129"/>
              <w:spacing w:after="0" w:line="155" w:lineRule="exact"/>
              <w:rPr>
                <w:sz w:val="20"/>
                <w:szCs w:val="20"/>
                <w:color w:val="auto"/>
              </w:rPr>
            </w:pPr>
            <w:r>
              <w:rPr>
                <w:rFonts w:ascii="Arial" w:cs="Arial" w:eastAsia="Arial" w:hAnsi="Arial"/>
                <w:sz w:val="14"/>
                <w:szCs w:val="14"/>
                <w:b w:val="1"/>
                <w:bCs w:val="1"/>
                <w:color w:val="auto"/>
                <w:w w:val="95"/>
              </w:rPr>
              <w:t>US$</w:t>
            </w:r>
          </w:p>
        </w:tc>
        <w:tc>
          <w:tcPr>
            <w:tcW w:w="520" w:type="dxa"/>
            <w:vAlign w:val="bottom"/>
            <w:gridSpan w:val="2"/>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US$</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30,169</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7,286</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20"/>
                <w:szCs w:val="20"/>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(7,286)</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center"/>
              <w:ind w:left="14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Principles of Consolidation</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the VIEs for which the Company is the primary beneficiary.</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A consolidated affiliated entity is an entity in which the Company, or its subsidiary, through contractual arrangements, exercises effective control over the activities that most impact the economic performance, bears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risks of, and enjoys the rewards normally associated with ownership of the entity, and therefore the Company or its subsidiary is the primary beneficiary of the entity.</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All intercompany transactions and balances among the Company, its wholly-owned subsidiaries and the VIEs have been eliminated upon consolidation.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Use of Estimates</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Estimates are used for, but not limited to, determination of obligations undertaken by the Group for product returns, determination of the stand-alone selling price (“SSP”), the valuation and recognition of share-based compensation arrangements, taxation, assessment for impairment of long-lived assets, allowance for doubtful accounts, inventory reserve for excess and obsolete inventories, lower of cost and net realizable value of inventories, useful lives of property and equipment, commitments and contingencies. Further, as the Group ships a large volume of packages through carriers to facilitate product sales to individual customer through third-party on-line platforms, actual delivery dates may not always be available and as such the Group estimates delivery dates based on historical data. Actual results could differ from those estimates, and as such, differences may be material to the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 Foreign Currency</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Group’s reporting currency is U.S. dollars (“US$”). The functional currency of the Group’s entities incorporated in Cayman Islands, the U.S. and Hong Kong is US$. The Group’s PRC subsidiaries and consolidated VIEs determined their functional currency to be Renminbi (“RMB”). The Group’s entities incorporated in Japan, Germany, the United Kingdom and other jurisdictions generally use their respective local currencies as their functional currencies. The determination of the respective functional currency is based on the criteria of ASC Topic 830, Foreign Currency Matters.</w:t>
      </w:r>
    </w:p>
    <w:p>
      <w:pPr>
        <w:spacing w:after="0" w:line="157" w:lineRule="exact"/>
        <w:rPr>
          <w:sz w:val="20"/>
          <w:szCs w:val="20"/>
          <w:color w:val="auto"/>
        </w:rPr>
      </w:pPr>
    </w:p>
    <w:p>
      <w:pPr>
        <w:jc w:val="both"/>
        <w:ind w:left="120" w:right="160" w:firstLine="881"/>
        <w:spacing w:after="0" w:line="259" w:lineRule="auto"/>
        <w:rPr>
          <w:sz w:val="20"/>
          <w:szCs w:val="20"/>
          <w:color w:val="auto"/>
        </w:rPr>
      </w:pPr>
      <w:r>
        <w:rPr>
          <w:rFonts w:ascii="Arial" w:cs="Arial" w:eastAsia="Arial" w:hAnsi="Arial"/>
          <w:sz w:val="18"/>
          <w:szCs w:val="18"/>
          <w:color w:val="auto"/>
        </w:rPr>
        <w:t>Transactions denominated in currencies other than the functional currency are translated into the functional currency at the exchange rates quoted by authoritative banks prevailing at the dates of the transactions. Exchange gains and losses resulting from those foreign currency transactions denominated in a currency other than the functional currency are recorded as “Foreign currency exchange gains, net” in the consolidated statements of comprehensive income.</w:t>
      </w:r>
    </w:p>
    <w:p>
      <w:pPr>
        <w:spacing w:after="0" w:line="18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Group entities with functional currencies other than the RMB, US$, including Great Britain Pound (“GPB”), Japanese Yuan (“JPY”), and Euro (“EUR”), translate their operating results and financial position into the US$, the Group’s reporting currency. Assets and liabilities denominated in foreign currencies are translated into US$ using the applicable exchange rates at the balance sheet date. Equity accounts other than earnings generated in current period are translated into US$ at the appropriate historical rates. Revenues, expenses, gains and losses are translated into US$ using the periodic average exchange rates. The resulting foreign currency translation adjustments are recorded in accumulated other comprehensive income as a component of shareholders’ equity.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 Commitments and Contingencies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the normal course of business, the Group is subject to loss contingencies, such as legal proceedings and claims arising out of its business, that cover a wide range of matters, including, among others, government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 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deposits at financial institutions. Cash is deposited into financial institutions at the locations listed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Cayman Islands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balances held at Caymanian financial institutions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20,419</w:t>
            </w:r>
          </w:p>
        </w:tc>
        <w:tc>
          <w:tcPr>
            <w:tcW w:w="80" w:type="dxa"/>
            <w:vAlign w:val="bottom"/>
            <w:shd w:val="clear" w:color="auto" w:fill="CCEEFF"/>
          </w:tcPr>
          <w:p>
            <w:pPr>
              <w:spacing w:after="0"/>
              <w:rPr>
                <w:sz w:val="18"/>
                <w:szCs w:val="18"/>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Financial institutions in the United States</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80" w:type="dxa"/>
            <w:vAlign w:val="bottom"/>
            <w:shd w:val="clear" w:color="auto" w:fill="CCEEFF"/>
          </w:tcPr>
          <w:p>
            <w:pPr>
              <w:spacing w:after="0"/>
              <w:rPr>
                <w:sz w:val="18"/>
                <w:szCs w:val="18"/>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United States financial institutions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9,118</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Hong Kong</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tcPr>
          <w:p>
            <w:pPr>
              <w:jc w:val="right"/>
              <w:spacing w:after="0"/>
              <w:rPr>
                <w:sz w:val="20"/>
                <w:szCs w:val="20"/>
                <w:color w:val="auto"/>
              </w:rPr>
            </w:pPr>
            <w:r>
              <w:rPr>
                <w:rFonts w:ascii="Arial" w:cs="Arial" w:eastAsia="Arial" w:hAnsi="Arial"/>
                <w:sz w:val="18"/>
                <w:szCs w:val="18"/>
                <w:color w:val="auto"/>
              </w:rPr>
              <w:t>9,537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EUR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GBP</w:t>
            </w: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JPY</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Hong Kong financial institutions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11,944</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Japan</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JPY</w:t>
            </w:r>
          </w:p>
        </w:tc>
        <w:tc>
          <w:tcPr>
            <w:tcW w:w="600" w:type="dxa"/>
            <w:vAlign w:val="bottom"/>
          </w:tcPr>
          <w:p>
            <w:pPr>
              <w:jc w:val="right"/>
              <w:spacing w:after="0"/>
              <w:rPr>
                <w:sz w:val="20"/>
                <w:szCs w:val="20"/>
                <w:color w:val="auto"/>
              </w:rPr>
            </w:pPr>
            <w:r>
              <w:rPr>
                <w:rFonts w:ascii="Arial" w:cs="Arial" w:eastAsia="Arial" w:hAnsi="Arial"/>
                <w:sz w:val="18"/>
                <w:szCs w:val="18"/>
                <w:color w:val="auto"/>
              </w:rPr>
              <w:t>5,101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Japanese financial institutions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5,426</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United Kingdom</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GBP</w:t>
            </w: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United Kingdom financial institutions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mainland of the PRC</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RMB</w:t>
            </w: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JPY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balances held at PRC financial institutions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2,580</w:t>
            </w:r>
          </w:p>
        </w:tc>
        <w:tc>
          <w:tcPr>
            <w:tcW w:w="80" w:type="dxa"/>
            <w:vAlign w:val="bottom"/>
            <w:shd w:val="clear" w:color="auto" w:fill="CCEEFF"/>
          </w:tcPr>
          <w:p>
            <w:pPr>
              <w:spacing w:after="0"/>
              <w:rPr>
                <w:sz w:val="18"/>
                <w:szCs w:val="18"/>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Financial institutions in Germany</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EUR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GBP</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Germany financial institutions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8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780" w:type="dxa"/>
            <w:vAlign w:val="bottom"/>
          </w:tcPr>
          <w:p>
            <w:pPr>
              <w:ind w:left="4520"/>
              <w:spacing w:after="0"/>
              <w:rPr>
                <w:sz w:val="20"/>
                <w:szCs w:val="20"/>
                <w:color w:val="auto"/>
              </w:rPr>
            </w:pPr>
            <w:r>
              <w:rPr>
                <w:rFonts w:ascii="Arial" w:cs="Arial" w:eastAsia="Arial" w:hAnsi="Arial"/>
                <w:sz w:val="18"/>
                <w:szCs w:val="18"/>
                <w:color w:val="auto"/>
              </w:rPr>
              <w:t>F-17</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Vietnam</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 Denominated in the NVD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Denominated in the US$</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Total cash balances held at Vietnam financial institutions</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held at financial institutions</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61,542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63,198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 Restricted Cash</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Cash that is restricted for withdrawal or use is reported separately on the face of the consolidated balance sheets. The Group’s restricted cash represents security deposits held in designated bank accounts for issuance of letters of guarantee. As of December 31, 2020 and 2021, the restricted cash, held by the Group at the United States financial institutions and denominated in the US$, amounted to US$655 and US$664, respectively.</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reconciliation of cash and restricted cash in the consolidated balance sheets to the amounts in the consolidated statement of cash flows 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follows: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-121920</wp:posOffset>
            </wp:positionV>
            <wp:extent cx="387477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4770" cy="145415"/>
                    </a:xfrm>
                    <a:prstGeom prst="rect">
                      <a:avLst/>
                    </a:prstGeom>
                    <a:noFill/>
                  </pic:spPr>
                </pic:pic>
              </a:graphicData>
            </a:graphic>
          </wp:anchor>
        </w:drawing>
      </w:r>
    </w:p>
    <w:p>
      <w:pPr>
        <w:spacing w:after="0" w:line="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Restricted cash</w:t>
      </w:r>
    </w:p>
    <w:p>
      <w:pPr>
        <w:spacing w:after="0" w:line="45" w:lineRule="exact"/>
        <w:rPr>
          <w:sz w:val="20"/>
          <w:szCs w:val="20"/>
          <w:color w:val="auto"/>
        </w:rPr>
      </w:pPr>
    </w:p>
    <w:p>
      <w:pPr>
        <w:ind w:left="2580"/>
        <w:spacing w:after="0"/>
        <w:rPr>
          <w:sz w:val="20"/>
          <w:szCs w:val="20"/>
          <w:color w:val="auto"/>
        </w:rPr>
      </w:pPr>
      <w:r>
        <w:rPr>
          <w:rFonts w:ascii="Arial" w:cs="Arial" w:eastAsia="Arial" w:hAnsi="Arial"/>
          <w:sz w:val="15"/>
          <w:szCs w:val="15"/>
          <w:b w:val="1"/>
          <w:bCs w:val="1"/>
          <w:color w:val="auto"/>
        </w:rPr>
        <w:t>Total cash and restricted cash shown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-97155</wp:posOffset>
            </wp:positionV>
            <wp:extent cx="3874770" cy="2825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4770" cy="282575"/>
                    </a:xfrm>
                    <a:prstGeom prst="rect">
                      <a:avLst/>
                    </a:prstGeom>
                    <a:noFill/>
                  </pic:spPr>
                </pic:pic>
              </a:graphicData>
            </a:graphic>
          </wp:anchor>
        </w:drawing>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620"/>
        <w:spacing w:after="0"/>
        <w:rPr>
          <w:sz w:val="20"/>
          <w:szCs w:val="20"/>
          <w:color w:val="auto"/>
        </w:rPr>
      </w:pPr>
      <w:r>
        <w:rPr>
          <w:rFonts w:ascii="Arial" w:cs="Arial" w:eastAsia="Arial" w:hAnsi="Arial"/>
          <w:sz w:val="14"/>
          <w:szCs w:val="14"/>
          <w:b w:val="1"/>
          <w:bCs w:val="1"/>
          <w:u w:val="single" w:color="auto"/>
          <w:color w:val="auto"/>
        </w:rPr>
        <w:t>December 31,</w:t>
      </w:r>
    </w:p>
    <w:p>
      <w:pPr>
        <w:spacing w:after="0" w:line="1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4"/>
          <w:szCs w:val="14"/>
          <w:b w:val="1"/>
          <w:bCs w:val="1"/>
          <w:u w:val="single" w:color="auto"/>
          <w:color w:val="auto"/>
        </w:rPr>
        <w:t>2020</w:t>
      </w:r>
      <w:r>
        <w:rPr>
          <w:sz w:val="20"/>
          <w:szCs w:val="20"/>
          <w:color w:val="auto"/>
        </w:rPr>
        <w:tab/>
      </w:r>
      <w:r>
        <w:rPr>
          <w:rFonts w:ascii="Arial" w:cs="Arial" w:eastAsia="Arial" w:hAnsi="Arial"/>
          <w:sz w:val="14"/>
          <w:szCs w:val="14"/>
          <w:b w:val="1"/>
          <w:bCs w:val="1"/>
          <w:u w:val="single" w:color="auto"/>
          <w:color w:val="auto"/>
        </w:rPr>
        <w:t>2021</w:t>
      </w:r>
    </w:p>
    <w:p>
      <w:pPr>
        <w:spacing w:after="0" w:line="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3"/>
          <w:szCs w:val="13"/>
          <w:b w:val="1"/>
          <w:bCs w:val="1"/>
          <w:color w:val="auto"/>
        </w:rPr>
        <w:t>US$</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61,542</w:t>
      </w:r>
      <w:r>
        <w:rPr>
          <w:sz w:val="20"/>
          <w:szCs w:val="20"/>
          <w:color w:val="auto"/>
        </w:rPr>
        <w:tab/>
      </w:r>
      <w:r>
        <w:rPr>
          <w:rFonts w:ascii="Arial" w:cs="Arial" w:eastAsia="Arial" w:hAnsi="Arial"/>
          <w:sz w:val="15"/>
          <w:szCs w:val="15"/>
          <w:color w:val="auto"/>
        </w:rPr>
        <w:t>63,198</w:t>
      </w:r>
    </w:p>
    <w:p>
      <w:pPr>
        <w:spacing w:after="0" w:line="42" w:lineRule="exact"/>
        <w:rPr>
          <w:sz w:val="20"/>
          <w:szCs w:val="20"/>
          <w:color w:val="auto"/>
        </w:rPr>
      </w:pPr>
    </w:p>
    <w:p>
      <w:pPr>
        <w:jc w:val="both"/>
        <w:ind w:left="240"/>
        <w:spacing w:after="0"/>
        <w:tabs>
          <w:tab w:leader="none" w:pos="1200" w:val="left"/>
        </w:tabs>
        <w:rPr>
          <w:sz w:val="20"/>
          <w:szCs w:val="20"/>
          <w:color w:val="auto"/>
        </w:rPr>
      </w:pPr>
      <w:r>
        <w:rPr>
          <w:rFonts w:ascii="Arial" w:cs="Arial" w:eastAsia="Arial" w:hAnsi="Arial"/>
          <w:sz w:val="18"/>
          <w:szCs w:val="18"/>
          <w:color w:val="auto"/>
        </w:rPr>
        <w:t>655</w:t>
      </w:r>
      <w:r>
        <w:rPr>
          <w:sz w:val="20"/>
          <w:szCs w:val="20"/>
          <w:color w:val="auto"/>
        </w:rPr>
        <w:tab/>
      </w: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10115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b w:val="1"/>
          <w:bCs w:val="1"/>
          <w:color w:val="auto"/>
        </w:rPr>
        <w:t>62,197</w:t>
      </w:r>
      <w:r>
        <w:rPr>
          <w:sz w:val="20"/>
          <w:szCs w:val="20"/>
          <w:color w:val="auto"/>
        </w:rPr>
        <w:tab/>
      </w:r>
      <w:r>
        <w:rPr>
          <w:rFonts w:ascii="Arial" w:cs="Arial" w:eastAsia="Arial" w:hAnsi="Arial"/>
          <w:sz w:val="15"/>
          <w:szCs w:val="15"/>
          <w:b w:val="1"/>
          <w:bCs w:val="1"/>
          <w:color w:val="auto"/>
        </w:rPr>
        <w:t>63,862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39370</wp:posOffset>
            </wp:positionV>
            <wp:extent cx="101155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11555" cy="2540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6400" w:space="720"/>
            <w:col w:w="4000"/>
          </w:cols>
          <w:pgMar w:left="320" w:top="459" w:right="459" w:bottom="1440" w:gutter="0" w:footer="0" w:header="0"/>
          <w:type w:val="continuous"/>
        </w:sectPr>
      </w:pP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 Contract Balances</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timing of revenue recognition, billings and cash collections result in accounts receivable and contract liabilities. A contract liability is recognized when the Group has an obligation to transfer goods or services to a customer for which the Group has received consideration from the customer, or for which an amount of consideration is due from the customer.</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Accounts receivable are recognized in the period when the Group has transferred products or provided services to its customers and when its right to consideration is unconditional. Amounts collected on accounts receivable are included in net cash provided by operating activities in the consolidated statement of cash flows. The Group maintains a general and specific allowance for doubtful accounts for estimated losses inherent in its accounts receivable portfolio. Accounts receivable balances with large creditworthy customers are reviewed by management individually for collectability. All other balances are reviewed on a pooled basis. A percentage of general allowance is applied to the balances of accounts receivable in each aging category, excluding those which are assessed individually for collectability. Management considers various factors, including historical loss experience, current market conditions, the financial condition of its debtors, any receivables in dispute, the aging of receivables and current payment patterns of its debtors, in establishing the required allowance.</w:t>
      </w:r>
    </w:p>
    <w:p>
      <w:pPr>
        <w:spacing w:after="0" w:line="17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An allowance for doubtful accounts is made and recorded into general and administrative expenses. Accounts receivable which are deemed to be uncollectible are charged off against the allowance after all means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of collection have been exhausted and the potential for recovery is considered remote. The Group does not have any off-balance sheet credit exposure related to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 Inventories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Inventories, consisting of products available for sale, are stated at the lower of cost and net realizable value. Cost of inventory is determined using the first-in, first out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comprehensive income.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 Property and Equipment, net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are stated at cost less accumulated depreciation and any recorded impairment.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Depreciation on property and equipment is calculated on the straight-line method over the estimated useful lives of the assets as follows:</w:t>
      </w:r>
    </w:p>
    <w:p>
      <w:pPr>
        <w:spacing w:after="0" w:line="289"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 and other equipment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Vehicles</w:t>
            </w:r>
          </w:p>
        </w:tc>
        <w:tc>
          <w:tcPr>
            <w:tcW w:w="166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Logistics, warehouse and other heavy equipment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years</w:t>
            </w:r>
          </w:p>
        </w:tc>
      </w:tr>
    </w:tbl>
    <w:p>
      <w:pPr>
        <w:spacing w:after="0" w:line="202"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When items are retired or otherwise disposed of, income is charged or credited for the difference between net book value and the proceeds received thereon. Ordinary maintenance and repairs are charged to expense as incurred.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 Leases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Leases are classified at the lease inception date as either a capital lease or an operating lease.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The Group records a capital lease as an asset and an obligation at an amount equal to the present value at the beginning of the lease term of minimum lease payments during the lease term. If at any time the lessee and lessor agree to amend the provisions of the lease, other than by renewing the lease or extending its term, in a manner that would have resulted in a different classification of the lease under the lease classification criteria had the amended provisions been in effect at the inception of the lease, the amended agreement shall be considered as a new agreement over its term, and the lease classification criteria shall be applied for purposes of classifying the new lease.</w:t>
      </w:r>
    </w:p>
    <w:p>
      <w:pPr>
        <w:spacing w:after="0" w:line="181"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The Group leases premises for offices and warehouses under noncancelable operating leases. Leases with escalated rent provisions are recognized on a straight-line basis commencing with the beginning of the lease term.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 Impairment of Long-lived Assets other than Goodwill</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Long-lived assets with finite useful lives are evaluated for impairment whenever events or changes in circumstances indicate that the carrying value of an asset may not be fully recoverable or that the useful life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8"/>
          <w:szCs w:val="18"/>
          <w:color w:val="auto"/>
        </w:rPr>
        <w:t>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of long-lived assets were recognized for the years ended December 31, 2019, 2020 and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 Revenue recognition</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Group recognizes revenues when the Group satisfies a performance obligation by transferring a promised good or service (that is, an asset) to a customer. An asset is transferred when the customer obtains control of that asset.</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Group evaluates whether it is appropriate to record the gross amount of merchandise sales and related costs or the net amount earned as commissions. When the Group is a principal, that the Group obtains control of the specified goods or services before they are transferred to the customers, the revenues should be recognized in the gross amount of consideration to which it expects to be entitled in exchange for the specified goods or services transferred. When the Group is an agent and its obligation is to facilitate third parties in fulfilling their performance obligation for specified goods or services, the revenues should be recognized in the net amount for the amount of commission which the Group earns in exchange for arranging for the specified goods or services to be provided by other parties. Revenues are recorded net of value-added taxes.</w:t>
      </w:r>
    </w:p>
    <w:p>
      <w:pPr>
        <w:spacing w:after="0" w:line="164"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The Group focuses on selling large parcel merchandise to various distributors and individual customers, as well as the provision of ecommerce solutions on its own platform (“GigaCloud Marketplace”), with which the Group could democratize access and distribution globally to manufacturers (“Sellers”) and online resellers (“Buyers”) without borders. The Group’s revenues include revenues from product sales and services. Product sales include sales on the GigaCloud Marketplace (“GigaCloud 1P”) and sales to and through third-party ecommerce websites (“Off-platform ecommerce”). Service revenues are generated from services provided to registered users, including Sellers and Buyers on GigaCloud Marketplace (“GigaCloud 3P”).</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GigaCloud 1P</w:t>
      </w:r>
    </w:p>
    <w:p>
      <w:pPr>
        <w:spacing w:after="0" w:line="225" w:lineRule="exact"/>
        <w:rPr>
          <w:sz w:val="20"/>
          <w:szCs w:val="20"/>
          <w:color w:val="auto"/>
        </w:rPr>
      </w:pPr>
    </w:p>
    <w:p>
      <w:pPr>
        <w:jc w:val="both"/>
        <w:ind w:left="120" w:right="40" w:firstLine="881"/>
        <w:spacing w:after="0" w:line="286" w:lineRule="auto"/>
        <w:rPr>
          <w:sz w:val="20"/>
          <w:szCs w:val="20"/>
          <w:color w:val="auto"/>
        </w:rPr>
      </w:pPr>
      <w:r>
        <w:rPr>
          <w:rFonts w:ascii="Arial" w:cs="Arial" w:eastAsia="Arial" w:hAnsi="Arial"/>
          <w:sz w:val="17"/>
          <w:szCs w:val="17"/>
          <w:color w:val="auto"/>
        </w:rPr>
        <w:t>The Group sells its merchandise to its customers, who are the Buyers of the GigaCloud Marketplace. The Group recognizes revenues net of discounts and return allowances. Such revenue is recognized at the point in time when the control of the merchandise is transferred to the Buyers, which generally occurs upon the shipment out of the Group’s warehouse to the destination designated by the Buyers.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Off-platform ecommerce</w:t>
      </w:r>
    </w:p>
    <w:p>
      <w:pPr>
        <w:spacing w:after="0" w:line="225" w:lineRule="exact"/>
        <w:rPr>
          <w:sz w:val="20"/>
          <w:szCs w:val="20"/>
          <w:color w:val="auto"/>
        </w:rPr>
      </w:pPr>
    </w:p>
    <w:p>
      <w:pPr>
        <w:ind w:left="120" w:right="180" w:firstLine="881"/>
        <w:spacing w:after="0" w:line="308" w:lineRule="auto"/>
        <w:rPr>
          <w:sz w:val="20"/>
          <w:szCs w:val="20"/>
          <w:color w:val="auto"/>
        </w:rPr>
      </w:pPr>
      <w:r>
        <w:rPr>
          <w:rFonts w:ascii="Arial" w:cs="Arial" w:eastAsia="Arial" w:hAnsi="Arial"/>
          <w:sz w:val="17"/>
          <w:szCs w:val="17"/>
          <w:color w:val="auto"/>
        </w:rPr>
        <w:t>There are two business lines subject to Off-platform ecommerce, which includes a) product sales made to third-party ecommerce websites (“Product sales to B”); and b) product sales to individual customers through third-party ecommerce websites (“Product sales to C”).</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sales to B</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The Group sells its merchandise to third-party ecommerce websites, who normally designate carrier companies to pick up merchandise from the Group’s warehouses. The Group recognizes revenue net of discounts and return allowances. Such revenue is recognized at the point in time when the third-party ecommerce websites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obtain control of the merchandise, which is the shipment out of the Group’s warehouse and pick-up by the carrier companies designated by the third-party ecommerce websites. As expenses charged by these websites are not in exchange for a distinct good or service, therefore, the payments to these websites, which are the Group’s customers, are not recognized as expenses but recorded net of revenues.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sales to C</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Group sells its merchandise to individual customers through third-party ecommerce websites. The Group recognizes revenue when the control is transferred to the individual customers at an amount that reflects the consideration to which the Group expects to be entitled in exchange of that merchandise. Revenue is recognized at the point in time when the individual customers take possession of merchandise, which is when a merchandise is delivered to the customers. Expenses incurred for product sales made through these websites, which are considered as platform commission, are recorded as selling and marketing expenses.</w:t>
      </w:r>
    </w:p>
    <w:p>
      <w:pPr>
        <w:spacing w:after="0" w:line="188"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Regarding GigaCloud 1P and Off-platform ecommerce, the Group recognizes revenue on a gross basis as the Group is acting as a principal in these transactions and is responsible for fulfilling the promise to provide the specified merchandise. Significant judgment is required to estimate the variable consideration incurred, which include return allowances as well as the variable consideration arising from the remorse protection program. The Group estimates the variable consideration based on the volatility of markets and its past experience with similar types of product sales, and include the amounts of variable consideration in the transaction price to the extent that it is probable that a significant reversal of cumulative revenue recognized will not occur when the uncertainty associated with the variable consideration is resolved. Such estimates are made using the ‘expected value’ method and is updated as and when additional information is available. Liabilities for variable consideration were included in “Accrued expenses and other current liabilities”.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GigaCloud 3P</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Group enters contracts with customers, which often include promises to transfer multiple services. For these contracts, the Group accounts for individual performance obligations separately if they are capable of being distinct and distinct within the context of the contract. Determining whether services are considered distinct performance obligations may require significant judgment. Judgment is also required to determine the stand-alone selling price, for each distinct performance obligation.</w:t>
      </w:r>
    </w:p>
    <w:p>
      <w:pPr>
        <w:spacing w:after="0" w:line="18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The Group charges commission fees for sales transaction consummated on GigaCloud Marketplace. The Group acts as an agent, as it does not take control of the merchandise provided by the Sellers at any time during the transactions and does not have latitude over pricing of the merchandise. The Group sets a percentage of the transacted product value as commission fees initially when a transaction is completed; and, for customers whose monthly transaction value reaches certain specified hurdles, they would receive a varying level of credits that is applied retrospectively depending on the tier they have reached. Revenue of commission fee is recognized upon successful sales of the merchandise by the Sellers when the Buyers take ownership of the merchandise and could control the merchandise at their wish. As the Group resets and confirms the credit and hence the effective rate of commission fee for each Seller at the end of each calendar month, no estimation is required beyond the end of each month. Since the remorse protection program was launched in 2021, any credits under the program are accounted for as variable consideration when estimating the amount of revenue from commission fees to be recognized to the extent that it is probable that a significant reversal of revenue will not occur. Consistent with the estimation for the similar credits for product sales under GigaCloud 1P, the Group adopts the ‘expected value’ method when estimating such variable consideration and the estimates are updated as additional information becomes available.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Group also offers comprehensive supply chain solutions for Sellers. The Group provides services to help the Sellers to ship the merchandise from the Sellers’ manufacturing plant to the Group’s oversea warehouses, utilizing the Group’s extensive shipping network consisting of ocean transportation providers, custom declaration agents, and domestic shipping companies. Further, the Group also provide warehousing service to the Sellers and Buyers, whoever have the ownership of the merchandise, in connection with the storage of merchandise in the Group’s warehouses, as well as the last-mile delivery services from the Group’s warehouses to domestic destinations designated by the Buyers. Revenues resulting from these services are recognized over time, as the Group performs the services in the contracts with continuous transfer of control to the Sellers or Buyers, and they could simultaneously receive and consume the benefits of the Group’s performance as it occurs. The Group is acting as a principal in providing warehousing service, ocean transportation service and last-mile delivery services and recognizes revenue on a gross basis, as the Group determines the price and selects carriers on its own discretion.</w:t>
      </w:r>
    </w:p>
    <w:p>
      <w:pPr>
        <w:spacing w:after="0" w:line="18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Group launched a remorse protection program in 2021, pursuant to which the Buyers on the GigaCloud Marketplace can elect to participate on a transaction-by-transaction basis. Pursuant to the program, the Buyers shall pay the Group a fee ranging from 2.0% to 3.8% of the underlying purchase price of the related products they buy in the GigaCloud Marketplace, and the Group aims at covering a portion of the Buyers’ risk when their customers seek compensation/discount on certain items for non-product quality reasons and when actual losses are incurred for up to 60 days from the shipment of products.</w:t>
      </w:r>
    </w:p>
    <w:p>
      <w:pPr>
        <w:spacing w:after="0" w:line="188"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The Group sees its remorse protection program as a price differentiation strategy targeted at the more risk-averse Buyers in GigaCloud Marketplace. The Group determines that the fee under the remorse protection program should be calculated based on the purchaser price of the underlying products purchased by the Buyers, regardless whether the purchase was made through product sales under GigaCloud 1P or platform services under GigaCloud 3P. In addition, notwithstanding the additional potential for compensation to Buyers under the remorse protection program, the Group has determined that its nature of promise of performance under the remorse protection program to its Buyers in GigaCloud Marketplace is no different from the nature of the Group’s promise of performance to other Buyers that do not enroll into the program, as the Group has not promised any further performance to its Buyers as a result of the program.</w:t>
      </w:r>
    </w:p>
    <w:p>
      <w:pPr>
        <w:spacing w:after="0" w:line="17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Accordingly, the Group has determined that the performance obligation under the remorse protection program is satisfied at the same point in time as other transactions in GigaCloud Marketplace where the Buyers do not enroll in the remorse protection program, when the control over the underlying products is transferred to the customers. The potential for compensation results in the transaction price of the product sales under GigaCloud 1P or platform services under GigaCloud 3P being variable under ASC 606-10-32-6. In this connection, the Group has taken into account the constraint guidance in ASC 606-10-32-11 and has only included that part of the variable consideration in the transaction price of its product sales under GigaCloud 1P and platform services under GigaCloud 3P such that it is probable that a significant reversal in the amount of cumulative revenue recognized will not occur when the uncertainty associated with the variable consideration is subsequently resolved. The Group has estimated the amount of variable consideration to be included in the transaction using the “expected value” method and would update its estimated transaction price at the end of each reporting period. Liabilities embodied by the Group due to the obligations under the remorse protection program were included in “Accrued expenses and other current liabilities”.</w:t>
      </w:r>
    </w:p>
    <w:p>
      <w:pPr>
        <w:spacing w:after="0" w:line="185"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The Sellers and Buyers could choose one or several of the above-mentioned services on GigaCloud Marketplace. Therefore, there may be multiple performance obligations included in one transaction. Revenue is allocated to each performance obligation based on its standalone selling price. The Group generally determines standalone selling prices based on observable prices. If the standalone selling price is not observable through past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transactions, the Group estimates the standalone selling price based on multiple factors, including but not limited to management approved price list or cost-plus margin analysis.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 Cost of Revenues</w:t>
      </w:r>
    </w:p>
    <w:p>
      <w:pPr>
        <w:spacing w:after="0" w:line="225"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Cost of product sales primarily consists of the purchase price of merchandise, shipping and handling costs for self-owned merchandise, warehouse rental expenses excluding the portion allocated to cost of service revenue, packaging fees and personnel related costs. Cost of services primarily consists of the domestic delivery cost, a portion of warehouse rental expenses, as well as the costs associated with the operation of the GigaCloud Marketplace.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shipping and handling costs primarily consist of those costs incurred during the process of delivery in North America and markets in other regions, including the expenses attributable to shipment and handling activities, when the Group delivers a good to a customer.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 Selling and Marketing Expenses</w:t>
      </w:r>
    </w:p>
    <w:p>
      <w:pPr>
        <w:spacing w:after="0" w:line="225"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Selling and marketing expenses mainly consist of promotion expenses, payroll and related expenses for personnel engaged in selling and marketing activities and rental and depreciation expenses relating to facilities and equipment used by those employees.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 Advertising Expenses</w:t>
      </w:r>
    </w:p>
    <w:p>
      <w:pPr>
        <w:spacing w:after="0" w:line="225"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color w:val="auto"/>
        </w:rPr>
        <w:t>Advertising expenses, including advertisements through various forms of media and marketing and promotional activities, are included in “selling and marketing expenses” in the consolidated statements of comprehensive income when incurred. Total advertising expenses incurred were US$1,198, US$1,075 and US$1,851 for the years ended December 31, 2019, 2020 and 2021, respectively.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 General and Administrative Expenses</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General and administrative expenses mainly consist of payroll and related costs for employees involved in general corporate functions, expenses associated with the use of facilities and equipment by these employees, such as rental and depreciation expenses, professional fees and other general corporate expenses.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 Government grants</w:t>
      </w:r>
    </w:p>
    <w:p>
      <w:pPr>
        <w:spacing w:after="0" w:line="225" w:lineRule="exact"/>
        <w:rPr>
          <w:sz w:val="20"/>
          <w:szCs w:val="20"/>
          <w:color w:val="auto"/>
        </w:rPr>
      </w:pPr>
    </w:p>
    <w:p>
      <w:pPr>
        <w:jc w:val="both"/>
        <w:ind w:left="120" w:right="80" w:firstLine="881"/>
        <w:spacing w:after="0" w:line="287" w:lineRule="auto"/>
        <w:rPr>
          <w:sz w:val="20"/>
          <w:szCs w:val="20"/>
          <w:color w:val="auto"/>
        </w:rPr>
      </w:pPr>
      <w:r>
        <w:rPr>
          <w:rFonts w:ascii="Arial" w:cs="Arial" w:eastAsia="Arial" w:hAnsi="Arial"/>
          <w:sz w:val="16"/>
          <w:szCs w:val="16"/>
          <w:color w:val="auto"/>
        </w:rPr>
        <w:t>Government grants are recognized when there is reasonable assurance that the Group will comply with the conditions attached to it and the grants will be received. Subsidies that related to the acquisition of an asset are initially recognized in deferred income in the consolidated balance sheet and subsequently amortized and recognized as other income in the consolidated statement of comprehensive income as the assets are depreciated.</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Government grant for the purpose of giving immediate financial support to the Group with no future related costs is recognized as other income in the Group’s consolidated statement of comprehensive income when the grant becomes receivable.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 Share-based Compensation</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Group applies ASC 718 to account for its share-based payments. In accordance with ASC 718, the Group determines whether an award should be classified and accounted for as a liability award or an equity award. All of the Group’s share-based awards to employees and non-employee service providers were classified as equity awards.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Share-based awards granted to the employees and non-employee service providers in the form of share options are subject to service and performance conditions. They are measured at the grant date fair value of the awards, and are recognized as compensation expense using the straight-line basis over the requisite service period, if and when the Group considers that it is probable that the performance condition will be achieved. The fair value of the share awards is estimated using the binomial option pricing model and is affected by the price of the ordinary shares as well as the assumptions regarding a number of complex and subjective variables, including risk-free interest rate, exercise multiple and expected dividend yield. The fair value of these awards was determined by management with the assistance from a valuation report prepared by an independent valuation firm using management’s estimates and assumptions. The Group elects to recognize the effect of forfeitures in compensation costs when they occur.</w:t>
      </w:r>
    </w:p>
    <w:p>
      <w:pPr>
        <w:spacing w:after="0" w:line="166" w:lineRule="exact"/>
        <w:rPr>
          <w:sz w:val="20"/>
          <w:szCs w:val="20"/>
          <w:color w:val="auto"/>
        </w:rPr>
      </w:pPr>
    </w:p>
    <w:p>
      <w:pPr>
        <w:ind w:left="120" w:right="320" w:firstLine="881"/>
        <w:spacing w:after="0" w:line="311" w:lineRule="auto"/>
        <w:rPr>
          <w:sz w:val="20"/>
          <w:szCs w:val="20"/>
          <w:color w:val="auto"/>
        </w:rPr>
      </w:pPr>
      <w:r>
        <w:rPr>
          <w:rFonts w:ascii="Arial" w:cs="Arial" w:eastAsia="Arial" w:hAnsi="Arial"/>
          <w:sz w:val="16"/>
          <w:szCs w:val="16"/>
          <w:color w:val="auto"/>
        </w:rPr>
        <w:t>A change in any of the terms or conditions of share-based awards is accounted for as a modification of the awards. Regarding a “not probable-to-probable” modification, which refers to the modification of the award that is not expected to vest under the original vest condition at the date of the modification, the Group recognizes total compensation cost equal to the modified award’s fair value at the date of the modification.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 Employee Benefits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Company’s subsidiaries and the VIEs in the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on the monthly basic compensation of qualified employees at a stated contribution rate of 25.5%. The Group has no further commitments beyond its monthly contribution. Employees in the United States are eligible to participate in one or more of savings plans that provide for periodic contributions by the Group based on plan-specific criteria, such as base pay, level and employee contributions.</w:t>
      </w:r>
    </w:p>
    <w:p>
      <w:pPr>
        <w:spacing w:after="0" w:line="192"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For the years ended December 31, 2019, 2020 and 2021, the costs and expenses of the obligations to the defined contribution plans amounted to US$1,516, US$1,689 and US$1,695,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 Income Taxes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The Group accounts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the consolidated statements of comprehensive income in the period that includes the enactment date. A valuation allowance is provided to reduce the amount of deferred income tax assets if based on the weight of available evidence, it is more-likely-than-not that some portion, or all, of the deferred income tax assets will not be realized. This assessment considers, among other matters, the nature, frequency and severity of current and cumulative losses, forecasts of futures profitability, the duration of statutory carryforward periods, the Group’s experience with operating loss and tax credit carryforwards, if any, not expiring.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Group applies a “more-likely-than-not” recognition threshold in the evaluation of uncertain tax positions. The Group recognizes the benefit of a tax position in its consolidated financial statements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 and general and administrative expenses, respectively.</w:t>
      </w:r>
    </w:p>
    <w:p>
      <w:pPr>
        <w:spacing w:after="0" w:line="18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As disclosed in the Note 14, as of December 31, 2020 and 2021, the Group had recognized tax provision on transfer pricing adjustments. Under PRC laws and regulations, an arrangement or transaction among related parties may be subject to audit or challenge by the PRC tax authorities within ten years after the taxable year when the arrangement or transaction takes place. If this occurs, the PRC tax authorities could request the Company’s subsidiaries and VIEs to adjust their taxable income in the form of a transfer pricing adjustment for PRC tax purposes if contractual arrangements among related parties do not represent arm’s length prices. Such a pricing adjustment could adversely affect the Group by increasing the Company’s subsidiaries’ and VIEs’ tax expenses without a corresponding reduction in the tax expenses, which, in turn, could lead to late payment fees and other penalties for underpayment of taxes.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 Concentration and Risk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Concentration of customers and suppliers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 customers individually represent greater than 10% of total revenues of the Group for the years ended December 31, 2019,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One customer individually represents greater than 10% of total accounts receivable balance of the Group as of December 31, 2021. Accounts receivable balances due from the customer as of December 31, 2021 are as follows. No customers individually represent greater than 10% of total accounts receivable balance of the Group as of December 31, 2020.</w:t>
      </w:r>
    </w:p>
    <w:p>
      <w:pPr>
        <w:spacing w:after="0" w:line="206" w:lineRule="exact"/>
        <w:rPr>
          <w:sz w:val="20"/>
          <w:szCs w:val="20"/>
          <w:color w:val="auto"/>
        </w:rPr>
      </w:pPr>
    </w:p>
    <w:tbl>
      <w:tblPr>
        <w:tblLayout w:type="fixed"/>
        <w:tblInd w:w="258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As of December 31, 2021</w:t>
            </w:r>
          </w:p>
        </w:tc>
      </w:tr>
      <w:tr>
        <w:trPr>
          <w:trHeight w:val="123"/>
        </w:trPr>
        <w:tc>
          <w:tcPr>
            <w:tcW w:w="4480" w:type="dxa"/>
            <w:vAlign w:val="bottom"/>
          </w:tcPr>
          <w:p>
            <w:pPr>
              <w:spacing w:after="0"/>
              <w:rPr>
                <w:sz w:val="10"/>
                <w:szCs w:val="10"/>
                <w:color w:val="auto"/>
              </w:rPr>
            </w:pP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w w:val="93"/>
              </w:rPr>
              <w:t>proportion of total accounts</w:t>
            </w:r>
          </w:p>
        </w:tc>
      </w:tr>
      <w:tr>
        <w:trPr>
          <w:trHeight w:val="181"/>
        </w:trPr>
        <w:tc>
          <w:tcPr>
            <w:tcW w:w="44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0"/>
              </w:rPr>
              <w:t>receivable balance</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26.6%</w:t>
            </w:r>
          </w:p>
        </w:tc>
      </w:tr>
    </w:tbl>
    <w:p>
      <w:pPr>
        <w:spacing w:after="0" w:line="202"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There are no suppliers from whom purchases individually represent greater than 10% of the total purchases of the Group for the years ended December 31, 2019, 2020 and 2021.</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principally of cash, restricted cash, and accounts receivable.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60" w:firstLine="881"/>
        <w:spacing w:after="0" w:line="308" w:lineRule="auto"/>
        <w:rPr>
          <w:sz w:val="20"/>
          <w:szCs w:val="20"/>
          <w:color w:val="auto"/>
        </w:rPr>
      </w:pPr>
      <w:r>
        <w:rPr>
          <w:rFonts w:ascii="Arial" w:cs="Arial" w:eastAsia="Arial" w:hAnsi="Arial"/>
          <w:sz w:val="17"/>
          <w:szCs w:val="17"/>
          <w:color w:val="auto"/>
        </w:rPr>
        <w:t>The Group’s investment policy requires cash and restricted cash to be placed with high quality financial institutions and to limit the amount of credit risk from any one institution. The Group regularly evaluates the credit standing of the counterparties or financial institutions.</w:t>
      </w:r>
    </w:p>
    <w:p>
      <w:pPr>
        <w:spacing w:after="0" w:line="146"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Accounts receivable (Note 3), derived from product sales and provision of services on the Group’s GigaCloud Marketplace, as well as amounts due from third-party payment platforms (Note 5) derived from payment from individual customers collected by third-party payment platforms on behalf of the Group, are exposed to credit risk. The assessment of the counter parties’ creditworthiness is primarily based on past history of making payments when due and current ability to pay, taking into account information specific to the counter parties as well as pertaining to the economic environment in which the counter parties operate. Based on this analysis, the Group determines what credit terms, if any, to offer to each counter party individually. If the assessment indicates a likelihood of collection risk, the Group will not deliver the services or sell the products to or through the counter parties or require the counter parties to pay cash in time to secure payment.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Group’s borrowings bear interests at fixed rates. If the Group were to renew these borrowings, the Group might be subject to interest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rate risk.</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Group is exposed to risks from foreign currency exchange rate fluctuations on the translation of foreign operations into U.S. dollars and on the purchase of goods by these foreign operations that are not denominated in their local currencies. The Group’s exposure to foreign currency rate fluctuations is not material to the consolidated statements of comprehensive income for the years ended December 31, 2019, 2020 and 2021.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 Earnings per Share</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Basic earnings per share is computed by dividing net income attributable to ordinary shareholders, considering the accretions to redemption value of the preferred shares, by the weighted average number of ordinary shares outstanding during the year using the two-class method. Under the two-class method, any net income is allocated between ordinary shares and other participating securities based on their participating rights. A net loss is not allocated to participating securities when the participating securities do not have contractual obligations to share losses.</w:t>
      </w:r>
    </w:p>
    <w:p>
      <w:pPr>
        <w:spacing w:after="0" w:line="157" w:lineRule="exact"/>
        <w:rPr>
          <w:sz w:val="20"/>
          <w:szCs w:val="20"/>
          <w:color w:val="auto"/>
        </w:rPr>
      </w:pPr>
    </w:p>
    <w:p>
      <w:pPr>
        <w:jc w:val="both"/>
        <w:ind w:left="120" w:right="460" w:firstLine="881"/>
        <w:spacing w:after="0" w:line="311" w:lineRule="auto"/>
        <w:rPr>
          <w:sz w:val="20"/>
          <w:szCs w:val="20"/>
          <w:color w:val="auto"/>
        </w:rPr>
      </w:pPr>
      <w:r>
        <w:rPr>
          <w:rFonts w:ascii="Arial" w:cs="Arial" w:eastAsia="Arial" w:hAnsi="Arial"/>
          <w:sz w:val="16"/>
          <w:szCs w:val="16"/>
          <w:color w:val="auto"/>
        </w:rPr>
        <w:t>The Company’s preferred shares are participating securities as they participate in undistributed earnings on an as-converted basis. The preferred shares do not have a contractual obligation to fund or otherwise absorb the Group’s losses. Accordingly, any undistributed net income is allocated on a pro rata basis to the ordinary shares and preferred shares; whereas any undistributed net loss is allocated to ordinary shares only.</w:t>
      </w:r>
    </w:p>
    <w:p>
      <w:pPr>
        <w:spacing w:after="0" w:line="149"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Diluted earnings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shares issuable upon the conversion of the preferred shares using the as-converted method, and exercise of outstanding share option using the treasury stock method. Ordinary equivalent shares are not included in the denominator of the diluted earnings per share calculation when inclusion of such shares would be anti-dilutive.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 Segment Reporting</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Group’s chief operating decision maker has been identified as the chief executive officer, who reviews consolidated results when making decisions about allocating resources and assessing performance of the Group. For the purpose of internal reporting and management’s operation review, the Group’s chief executive officer and management personnel do not segregate the Group’s business by revenue steam or geography. Management has determined that the Group has one operating segment.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(aa) Statutory Reserves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accordance with the PRC Company Laws, the paid-in capitals of the PRC subsidiaries and VIEs are not allowed to be transferred to the Company by way of cash dividends, loans or advances, nor can they be distributed except for liquidation.</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addition, in accordance with the PRC Company Laws, the Group’s PRC subsidiaries and VIEs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after offsetting any prior year losses as determined under PRC GAAP. Appropriation is not required if the statutory surplus fund has reached 50% of the registered capital of the PRC companies. Appropriation to the discretionary surplus fund is made at the discretion of the PRC companies.</w:t>
      </w:r>
    </w:p>
    <w:p>
      <w:pPr>
        <w:spacing w:after="0" w:line="17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84"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No appropriation to the reserve fund was made by the PRC subsidiaries and VIEs, as these PRC companies had accumulated losses as determined under PRC GAAP for the years ended December 31, 2019, 2020 and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 Recent Accounting Pronouncements</w:t>
      </w:r>
    </w:p>
    <w:p>
      <w:pPr>
        <w:spacing w:after="0" w:line="22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In February 2016, the FASB issued ASU No. 2016-02 (‘‘ASU 2016-02’’), Leases. ASU 2016-02 specifies the accounting for leases. For operating leases, ASU 2016-02 requires a lessee to recognize a right-of-use asset and a lease liability, initially measured at the present value of the lease payments, in its balance sheets. The standard also requires a lessee to recognize a single lease cost, calculated so that the cost of the lease is allocated over the lease term, on a generally straight-line basis. ASU 2016-02 is effective for public companies for annual reporting periods, and interim periods within those years beginning after December 15, 2018. For all other entities, ASU 2016-02 is effective for fiscal years beginning after December 15, 2021, and interim periods within fiscal years beginning after December 15, 2022. Early adoption is permitted. As the Group is an “emerging growth company” and elects to apply for the new and revised accounting standards at the effective date for a private company, the Group will adopt ASU 2016-02 for the fiscal year ending December 31, 2022.</w:t>
      </w:r>
    </w:p>
    <w:p>
      <w:pPr>
        <w:spacing w:after="0" w:line="178"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7"/>
          <w:szCs w:val="17"/>
          <w:color w:val="auto"/>
        </w:rPr>
        <w:t>ASU 2016-02 will primarily affect the Group’s accounting as a lessee of leased warehouses and office space which are currently classified as operating leases. The application of the new accounting model is expected to lead to an increase in both assets and liabilities and to impact on the timing of the expense recognition in the consolidated statement of comprehensive income over the period of the lease.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Prior to the adoption of ASU 2016-02, operating leases were not recognized on the balance sheet of the Group, but rent expenses with fixed escalating payments and/or rent holidays were recognized on a straight-line basis over the lease term.</w:t>
      </w:r>
    </w:p>
    <w:p>
      <w:pPr>
        <w:spacing w:after="0" w:line="170" w:lineRule="exact"/>
        <w:rPr>
          <w:sz w:val="20"/>
          <w:szCs w:val="20"/>
          <w:color w:val="auto"/>
        </w:rPr>
      </w:pPr>
    </w:p>
    <w:p>
      <w:pPr>
        <w:ind w:left="120" w:right="180" w:firstLine="881"/>
        <w:spacing w:after="0" w:line="293" w:lineRule="auto"/>
        <w:rPr>
          <w:sz w:val="20"/>
          <w:szCs w:val="20"/>
          <w:color w:val="auto"/>
        </w:rPr>
      </w:pPr>
      <w:r>
        <w:rPr>
          <w:rFonts w:ascii="Arial" w:cs="Arial" w:eastAsia="Arial" w:hAnsi="Arial"/>
          <w:sz w:val="16"/>
          <w:szCs w:val="16"/>
          <w:color w:val="auto"/>
        </w:rPr>
        <w:t>Upon adoption of ASU 2016-02, right-of-use (“ROU”) assets and lease liabilities are recognized upon lease commencement for operating leases based on the present value of lease payments over the lease term. As the rate implicit in the lease cannot be readily determined, an incremental borrowing rate at the lease commencement date should be used in determining the interest and present value of lease payments. The incremental borrowing rate will be determined using a portfolio approach based on the rate of interest that the Group would have to borrow an amount equal to the lease payments on a collateralized basis over a similar term. The incremental borrowing rate is primarily influenced by the risk-free interest rate of the Group, the Group’s credit rating and lease term, and is updated periodically for measurement of new lease liabilities.</w:t>
      </w:r>
    </w:p>
    <w:p>
      <w:pPr>
        <w:spacing w:after="0" w:line="164" w:lineRule="exact"/>
        <w:rPr>
          <w:sz w:val="20"/>
          <w:szCs w:val="20"/>
          <w:color w:val="auto"/>
        </w:rPr>
      </w:pPr>
    </w:p>
    <w:p>
      <w:pPr>
        <w:jc w:val="both"/>
        <w:ind w:left="120" w:right="100" w:firstLine="881"/>
        <w:spacing w:after="0" w:line="275" w:lineRule="auto"/>
        <w:rPr>
          <w:sz w:val="20"/>
          <w:szCs w:val="20"/>
          <w:color w:val="auto"/>
        </w:rPr>
      </w:pPr>
      <w:r>
        <w:rPr>
          <w:rFonts w:ascii="Arial" w:cs="Arial" w:eastAsia="Arial" w:hAnsi="Arial"/>
          <w:sz w:val="17"/>
          <w:szCs w:val="17"/>
          <w:color w:val="auto"/>
        </w:rPr>
        <w:t>For operating leases, the Group will recognize a single lease cost on a straight-line basis over the remaining lease term. For finance leases, the Group recognizes straight-line amortization of the ROU asset and interest on the lease liability. This is consistent with the historical recognition of finance leases, which was unchanged upon adoption of ASC 842. The Group will not recognize ROU assets or lease liabilities for leases with an initial term of 12 months or less; and will recognize lease expense for these leases on a straight-line basis over the lease term. In addition, the Group will elect not to separate non-lease components (e.g., common area maintenance fees) from the lease components.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Group adopted ASU 2016-02 on January 1, 2022 with a modified retrospective transition method. The Group believes that ASU 2016-02 will have a material impact on the consolidated balance sheet as a result of the requirement to recognize ROU and lease liabilities for operating leases upon adoption. The Company estimates total assets and liabilities will increase approximately US$0.2 billion upon adoption.</w:t>
      </w:r>
    </w:p>
    <w:p>
      <w:pPr>
        <w:spacing w:after="0" w:line="16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In June 2016, the FASB amended ASU 2016-13, Financial Instruments—Credit Losses (Topic 326), Measurement of Credit Losses on Financial Instruments. ASU 2016-13, Financial Instruments—Credit Losses is effective for public companies for annual reporting periods, and interim periods within those years beginning after December 15, 2019. For all other entities, it is effective for fiscal years beginning after December 15, 2022, including interim periods within those fiscal years. Early adoption is permitted. As the Group is an ‘‘emerging growth company’’ and elects to apply for the new and revised accounting standards at the effective date for a private company, the Group will adopt ASU 2016-13 for the fiscal year ending December 31, 2023. The Group is currently evaluating the impact of this new guidance on its consolidated financial statements.</w:t>
      </w:r>
    </w:p>
    <w:p>
      <w:pPr>
        <w:spacing w:after="0" w:line="164"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Hedging—Contracts in Entity’s Own Equity (Subtopic 815 – 40). This guidance simplifies the accounting for certain financial instruments with characteristics of liabilities and equity, including convertible instruments and contracts on an entity’s own equity. The amendments to this guidance are effective for fiscal years beginning after December 15, 2021, and interim periods within those fiscal years. The Group will adopt this guidance effective January 1, 2022. The Group does not expect the adoption to have a material impact on its consolidated financial statements.</w:t>
      </w:r>
    </w:p>
    <w:p>
      <w:pPr>
        <w:spacing w:after="0" w:line="176"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The guidance will result in the acquirer recognizing contract assets and contract liabilities at the same amounts recorded by the acquire.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guidance is applied prospectively to acquisitions occurring on or after the effective date. The guidance is effective for fiscal years beginning after December 15, 2022, including interim periods within those fiscal years. Early adoption is permitted, including in interim periods, for any financial statements that have not yet been issued. The Group does not expect the adoption to have a material impact on its consolidated financial statements.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ACCOUNTS RECEIVABLE, NET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net,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24,084</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18,187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gridSpan w:val="5"/>
          </w:tcPr>
          <w:p>
            <w:pPr>
              <w:jc w:val="right"/>
              <w:ind w:right="68"/>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24,020</w:t>
            </w:r>
          </w:p>
        </w:tc>
        <w:tc>
          <w:tcPr>
            <w:tcW w:w="2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18,036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880"/>
              <w:spacing w:after="0"/>
              <w:rPr>
                <w:sz w:val="20"/>
                <w:szCs w:val="20"/>
                <w:color w:val="auto"/>
              </w:rPr>
            </w:pPr>
            <w:r>
              <w:rPr>
                <w:rFonts w:ascii="Arial" w:cs="Arial" w:eastAsia="Arial" w:hAnsi="Arial"/>
                <w:sz w:val="18"/>
                <w:szCs w:val="18"/>
                <w:color w:val="auto"/>
              </w:rPr>
              <w:t>The movement of the allowance for doubtful accounts is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the beginning of the year</w:t>
            </w:r>
          </w:p>
        </w:tc>
        <w:tc>
          <w:tcPr>
            <w:tcW w:w="980" w:type="dxa"/>
            <w:vAlign w:val="bottom"/>
            <w:tcBorders>
              <w:right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Additions charged to bad debt expense</w:t>
            </w:r>
          </w:p>
        </w:tc>
        <w:tc>
          <w:tcPr>
            <w:tcW w:w="380" w:type="dxa"/>
            <w:vAlign w:val="bottom"/>
            <w:gridSpan w:val="2"/>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the end of the year</w:t>
            </w:r>
          </w:p>
        </w:tc>
        <w:tc>
          <w:tcPr>
            <w:tcW w:w="380" w:type="dxa"/>
            <w:vAlign w:val="bottom"/>
            <w:tcBorders>
              <w:right w:val="single" w:sz="8" w:color="CCEEFF"/>
            </w:tcBorders>
            <w:gridSpan w:val="2"/>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880"/>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w w:val="73"/>
              </w:rPr>
              <w:t>2020</w:t>
            </w:r>
          </w:p>
        </w:tc>
        <w:tc>
          <w:tcPr>
            <w:tcW w:w="12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Products available for sale</w:t>
            </w:r>
          </w:p>
        </w:tc>
        <w:tc>
          <w:tcPr>
            <w:tcW w:w="76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21,258</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56,444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Goods in transit</w:t>
            </w:r>
          </w:p>
        </w:tc>
        <w:tc>
          <w:tcPr>
            <w:tcW w:w="760" w:type="dxa"/>
            <w:vAlign w:val="bottom"/>
            <w:gridSpan w:val="5"/>
          </w:tcPr>
          <w:p>
            <w:pPr>
              <w:jc w:val="right"/>
              <w:ind w:right="88"/>
              <w:spacing w:after="0"/>
              <w:rPr>
                <w:sz w:val="20"/>
                <w:szCs w:val="20"/>
                <w:color w:val="auto"/>
              </w:rPr>
            </w:pPr>
            <w:r>
              <w:rPr>
                <w:rFonts w:ascii="Arial" w:cs="Arial" w:eastAsia="Arial" w:hAnsi="Arial"/>
                <w:sz w:val="18"/>
                <w:szCs w:val="18"/>
                <w:color w:val="auto"/>
              </w:rPr>
              <w:t>14,320</w:t>
            </w:r>
          </w:p>
        </w:tc>
        <w:tc>
          <w:tcPr>
            <w:tcW w:w="22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76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35,578</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81,441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40" w:type="dxa"/>
            <w:vAlign w:val="bottom"/>
            <w:vMerge w:val="restart"/>
          </w:tcPr>
          <w:p>
            <w:pPr>
              <w:ind w:left="2880"/>
              <w:spacing w:after="0"/>
              <w:rPr>
                <w:sz w:val="20"/>
                <w:szCs w:val="20"/>
                <w:color w:val="auto"/>
              </w:rPr>
            </w:pPr>
            <w:r>
              <w:rPr>
                <w:rFonts w:ascii="Arial" w:cs="Arial" w:eastAsia="Arial" w:hAnsi="Arial"/>
                <w:sz w:val="18"/>
                <w:szCs w:val="18"/>
                <w:color w:val="auto"/>
              </w:rPr>
              <w:t>F-29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9" w:right="6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PREPAYMENTS AND OTHER CURRENT ASSETS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Prepayments and other current assets as of December 31, 2020 and 2021 are consists of the following:</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56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Value-added taxes recoverable</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Advances to suppliers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1,736</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third-party payment platforms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2,627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737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r>
      <w:tr>
        <w:trPr>
          <w:trHeight w:val="27"/>
        </w:trPr>
        <w:tc>
          <w:tcPr>
            <w:tcW w:w="4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10,574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9,080</w:t>
            </w:r>
          </w:p>
        </w:tc>
      </w:tr>
      <w:tr>
        <w:trPr>
          <w:trHeight w:val="20"/>
        </w:trPr>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00" w:hanging="224"/>
        <w:spacing w:after="0" w:line="308"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deposits recorded in the prepayments and other current assets represent the deposits from lessors for leasing warehouses and equipment, which are receivable within a year. The deposits which will be received beyond a year are recorded in the non-current assets.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as of December 31, 2020 and 2021 consisted of the following:</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5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gridSpan w:val="2"/>
          </w:tcPr>
          <w:p>
            <w:pPr>
              <w:spacing w:after="0"/>
              <w:rPr>
                <w:sz w:val="12"/>
                <w:szCs w:val="12"/>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and other equipment</w:t>
            </w: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Vehicles</w:t>
            </w: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174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Logistics, warehouse and other heavy equipment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5,983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10,739</w:t>
            </w: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6,405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12,307</w:t>
            </w: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5,941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11,075</w:t>
            </w:r>
          </w:p>
        </w:tc>
        <w:tc>
          <w:tcPr>
            <w:tcW w:w="12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carrying amounts of the Group’s property and equipment, net, acquired under capital leases as of December 31, 2020 and 2021 were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2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tcPr>
          <w:p>
            <w:pPr>
              <w:spacing w:after="0"/>
              <w:rPr>
                <w:sz w:val="12"/>
                <w:szCs w:val="12"/>
                <w:color w:val="auto"/>
              </w:rPr>
            </w:pPr>
          </w:p>
        </w:tc>
        <w:tc>
          <w:tcPr>
            <w:tcW w:w="3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Logistics, warehouse and other heavy equipment</w:t>
            </w:r>
          </w:p>
        </w:tc>
        <w:tc>
          <w:tcPr>
            <w:tcW w:w="8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w w:val="97"/>
              </w:rPr>
              <w:t>3,210</w:t>
            </w:r>
          </w:p>
        </w:tc>
        <w:tc>
          <w:tcPr>
            <w:tcW w:w="5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4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3,210</w:t>
            </w:r>
          </w:p>
        </w:tc>
        <w:tc>
          <w:tcPr>
            <w:tcW w:w="400" w:type="dxa"/>
            <w:vAlign w:val="bottom"/>
          </w:tcPr>
          <w:p>
            <w:pPr>
              <w:spacing w:after="0"/>
              <w:rPr>
                <w:sz w:val="19"/>
                <w:szCs w:val="19"/>
                <w:color w:val="auto"/>
              </w:rPr>
            </w:pPr>
          </w:p>
        </w:tc>
        <w:tc>
          <w:tcPr>
            <w:tcW w:w="46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4"/>
              </w:rPr>
              <w:t>7,296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5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3,107</w:t>
            </w: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4"/>
              </w:rPr>
              <w:t>7,023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880"/>
              <w:spacing w:after="0"/>
              <w:rPr>
                <w:sz w:val="20"/>
                <w:szCs w:val="20"/>
                <w:color w:val="auto"/>
              </w:rPr>
            </w:pPr>
            <w:r>
              <w:rPr>
                <w:rFonts w:ascii="Arial" w:cs="Arial" w:eastAsia="Arial" w:hAnsi="Arial"/>
                <w:sz w:val="18"/>
                <w:szCs w:val="18"/>
                <w:color w:val="auto"/>
              </w:rPr>
              <w:t>F-30</w:t>
            </w: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Depreciation expenses on property and equipment were allocated to the following expense items: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gridSpan w:val="5"/>
            <w:vMerge w:val="restart"/>
          </w:tcPr>
          <w:p>
            <w:pPr>
              <w:jc w:val="center"/>
              <w:ind w:left="54"/>
              <w:spacing w:after="0"/>
              <w:rPr>
                <w:sz w:val="20"/>
                <w:szCs w:val="20"/>
                <w:color w:val="auto"/>
              </w:rPr>
            </w:pPr>
            <w:r>
              <w:rPr>
                <w:rFonts w:ascii="Arial" w:cs="Arial" w:eastAsia="Arial" w:hAnsi="Arial"/>
                <w:sz w:val="14"/>
                <w:szCs w:val="14"/>
                <w:b w:val="1"/>
                <w:bCs w:val="1"/>
                <w:color w:val="auto"/>
                <w:w w:val="70"/>
              </w:rPr>
              <w:t>2019</w:t>
            </w:r>
          </w:p>
        </w:tc>
        <w:tc>
          <w:tcPr>
            <w:tcW w:w="15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left="415"/>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87"/>
              </w:rPr>
              <w:t>US$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3"/>
              </w:rPr>
              <w:t>US$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tcPr>
          <w:p>
            <w:pPr>
              <w:spacing w:after="0"/>
              <w:rPr>
                <w:sz w:val="19"/>
                <w:szCs w:val="19"/>
                <w:color w:val="auto"/>
              </w:rPr>
            </w:pPr>
          </w:p>
        </w:tc>
        <w:tc>
          <w:tcPr>
            <w:tcW w:w="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depreciation expenses</w:t>
            </w:r>
          </w:p>
        </w:tc>
        <w:tc>
          <w:tcPr>
            <w:tcW w:w="48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8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BORROWINGS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December 31,</w:t>
            </w:r>
          </w:p>
        </w:tc>
        <w:tc>
          <w:tcPr>
            <w:tcW w:w="8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left="375"/>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70"/>
              </w:rPr>
              <w:t>US$</w:t>
            </w:r>
          </w:p>
        </w:tc>
        <w:tc>
          <w:tcPr>
            <w:tcW w:w="5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Secured bank loans</w:t>
            </w:r>
          </w:p>
        </w:tc>
        <w:tc>
          <w:tcPr>
            <w:tcW w:w="48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w w:val="97"/>
              </w:rPr>
              <w:t>1,035</w:t>
            </w:r>
          </w:p>
        </w:tc>
        <w:tc>
          <w:tcPr>
            <w:tcW w:w="8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w w:val="99"/>
              </w:rPr>
              <w:t>582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Unsecured bank loans</w:t>
            </w:r>
          </w:p>
        </w:tc>
        <w:tc>
          <w:tcPr>
            <w:tcW w:w="480" w:type="dxa"/>
            <w:vAlign w:val="bottom"/>
            <w:gridSpan w:val="8"/>
          </w:tcPr>
          <w:p>
            <w:pPr>
              <w:jc w:val="right"/>
              <w:ind w:right="2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borrowings</w:t>
            </w:r>
          </w:p>
        </w:tc>
        <w:tc>
          <w:tcPr>
            <w:tcW w:w="48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1,103</w:t>
            </w:r>
          </w:p>
        </w:tc>
        <w:tc>
          <w:tcPr>
            <w:tcW w:w="8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w w:val="99"/>
              </w:rPr>
              <w:t>582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46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345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excluding current portion</w:t>
            </w:r>
          </w:p>
        </w:tc>
        <w:tc>
          <w:tcPr>
            <w:tcW w:w="48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880" w:type="dxa"/>
            <w:vAlign w:val="bottom"/>
            <w:tcBorders>
              <w:right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w w:val="99"/>
              </w:rPr>
              <w:t>237</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June 2020, the Group borrowed a six-year unsecured loan of US$68 from HSBC with an interest rate of 2.50% per annum. The loan can only be used for business benefits. The Group made full repayment to HSBC on August 25, 2021.</w:t>
      </w:r>
    </w:p>
    <w:p>
      <w:pPr>
        <w:spacing w:after="0" w:line="170"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In July and October of 2020, the Group borrowed two three-year loans from MIZUHO Bank with the principal of US$375 and US$756, respectively. The loans bear no interest rate and are guaranteed by the chairman of the board of Oriental Standard Japan Co., Ltd.</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aggregate maturities of the above long-term borrowings for each year subsequent to December 31, 2021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460" w:type="dxa"/>
            <w:vAlign w:val="bottom"/>
          </w:tcPr>
          <w:p>
            <w:pPr>
              <w:spacing w:after="0"/>
              <w:rPr>
                <w:sz w:val="16"/>
                <w:szCs w:val="16"/>
                <w:color w:val="auto"/>
              </w:rPr>
            </w:pPr>
          </w:p>
        </w:tc>
        <w:tc>
          <w:tcPr>
            <w:tcW w:w="2760" w:type="dxa"/>
            <w:vAlign w:val="bottom"/>
            <w:gridSpan w:val="3"/>
          </w:tcPr>
          <w:p>
            <w:pPr>
              <w:ind w:left="960"/>
              <w:spacing w:after="0"/>
              <w:rPr>
                <w:sz w:val="20"/>
                <w:szCs w:val="20"/>
                <w:color w:val="auto"/>
              </w:rPr>
            </w:pPr>
            <w:r>
              <w:rPr>
                <w:rFonts w:ascii="Arial" w:cs="Arial" w:eastAsia="Arial" w:hAnsi="Arial"/>
                <w:sz w:val="14"/>
                <w:szCs w:val="14"/>
                <w:b w:val="1"/>
                <w:bCs w:val="1"/>
                <w:color w:val="auto"/>
              </w:rPr>
              <w:t>Year ending December 31,</w:t>
            </w: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5"/>
          </w:tcPr>
          <w:p>
            <w:pPr>
              <w:ind w:left="4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2022</w:t>
            </w:r>
          </w:p>
        </w:tc>
        <w:tc>
          <w:tcPr>
            <w:tcW w:w="1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4"/>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345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2380" w:type="dxa"/>
            <w:vAlign w:val="bottom"/>
            <w:gridSpan w:val="8"/>
          </w:tcPr>
          <w:p>
            <w:pPr>
              <w:ind w:left="204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8. ACCOUNTS PAYABLE</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vMerge w:val="restart"/>
          </w:tcPr>
          <w:p>
            <w:pPr>
              <w:ind w:left="1840"/>
              <w:spacing w:after="0"/>
              <w:rPr>
                <w:sz w:val="20"/>
                <w:szCs w:val="20"/>
                <w:color w:val="auto"/>
              </w:rPr>
            </w:pPr>
            <w:r>
              <w:rPr>
                <w:rFonts w:ascii="Arial" w:cs="Arial" w:eastAsia="Arial" w:hAnsi="Arial"/>
                <w:sz w:val="12"/>
                <w:szCs w:val="12"/>
                <w:b w:val="1"/>
                <w:bCs w:val="1"/>
                <w:color w:val="auto"/>
                <w:w w:val="74"/>
              </w:rPr>
              <w:t>2020</w:t>
            </w:r>
          </w:p>
        </w:tc>
        <w:tc>
          <w:tcPr>
            <w:tcW w:w="128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4"/>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Vendor payable</w:t>
            </w:r>
          </w:p>
        </w:tc>
        <w:tc>
          <w:tcPr>
            <w:tcW w:w="23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11,456</w:t>
            </w:r>
          </w:p>
        </w:tc>
        <w:tc>
          <w:tcPr>
            <w:tcW w:w="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w w:val="92"/>
              </w:rPr>
              <w:t>Shipping charges payable and others</w:t>
            </w:r>
          </w:p>
        </w:tc>
        <w:tc>
          <w:tcPr>
            <w:tcW w:w="1680" w:type="dxa"/>
            <w:vAlign w:val="bottom"/>
          </w:tcPr>
          <w:p>
            <w:pPr>
              <w:spacing w:after="0"/>
              <w:rPr>
                <w:sz w:val="18"/>
                <w:szCs w:val="18"/>
                <w:color w:val="auto"/>
              </w:rPr>
            </w:pPr>
          </w:p>
        </w:tc>
        <w:tc>
          <w:tcPr>
            <w:tcW w:w="620" w:type="dxa"/>
            <w:vAlign w:val="bottom"/>
            <w:gridSpan w:val="6"/>
          </w:tcPr>
          <w:p>
            <w:pPr>
              <w:jc w:val="right"/>
              <w:ind w:right="20"/>
              <w:spacing w:after="0"/>
              <w:rPr>
                <w:sz w:val="20"/>
                <w:szCs w:val="20"/>
                <w:color w:val="auto"/>
              </w:rPr>
            </w:pPr>
            <w:r>
              <w:rPr>
                <w:rFonts w:ascii="Arial" w:cs="Arial" w:eastAsia="Arial" w:hAnsi="Arial"/>
                <w:sz w:val="18"/>
                <w:szCs w:val="18"/>
                <w:color w:val="auto"/>
              </w:rPr>
              <w:t>7,375</w:t>
            </w:r>
          </w:p>
        </w:tc>
        <w:tc>
          <w:tcPr>
            <w:tcW w:w="80" w:type="dxa"/>
            <w:vAlign w:val="bottom"/>
          </w:tcPr>
          <w:p>
            <w:pPr>
              <w:spacing w:after="0"/>
              <w:rPr>
                <w:sz w:val="18"/>
                <w:szCs w:val="18"/>
                <w:color w:val="auto"/>
              </w:rPr>
            </w:pPr>
          </w:p>
        </w:tc>
        <w:tc>
          <w:tcPr>
            <w:tcW w:w="960" w:type="dxa"/>
            <w:vAlign w:val="bottom"/>
            <w:gridSpan w:val="6"/>
          </w:tcPr>
          <w:p>
            <w:pPr>
              <w:jc w:val="right"/>
              <w:ind w:right="80"/>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168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18,831</w:t>
            </w:r>
          </w:p>
        </w:tc>
        <w:tc>
          <w:tcPr>
            <w:tcW w:w="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25,140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ind w:left="120"/>
              <w:spacing w:after="0"/>
              <w:rPr>
                <w:sz w:val="20"/>
                <w:szCs w:val="20"/>
                <w:color w:val="auto"/>
              </w:rPr>
            </w:pPr>
            <w:r>
              <w:rPr>
                <w:rFonts w:ascii="Arial" w:cs="Arial" w:eastAsia="Arial" w:hAnsi="Arial"/>
                <w:sz w:val="18"/>
                <w:szCs w:val="18"/>
                <w:color w:val="auto"/>
              </w:rPr>
              <w:t>F-31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48"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w w:val="74"/>
              </w:rPr>
              <w:t>2020</w:t>
            </w:r>
          </w:p>
        </w:tc>
        <w:tc>
          <w:tcPr>
            <w:tcW w:w="8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December 31,</w:t>
            </w:r>
          </w:p>
        </w:tc>
        <w:tc>
          <w:tcPr>
            <w:tcW w:w="4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(Note 10)</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Salary and welfare payables</w:t>
            </w: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3,534</w:t>
            </w:r>
          </w:p>
        </w:tc>
        <w:tc>
          <w:tcPr>
            <w:tcW w:w="340" w:type="dxa"/>
            <w:vAlign w:val="bottom"/>
          </w:tcPr>
          <w:p>
            <w:pPr>
              <w:spacing w:after="0"/>
              <w:rPr>
                <w:sz w:val="18"/>
                <w:szCs w:val="18"/>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Refundable deposits on GigaCloud Marketplace*</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9,387</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Professional fee accruals</w:t>
            </w: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8"/>
                <w:szCs w:val="18"/>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 refund liability</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1,249</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Obligations under the remorse protection program</w:t>
            </w:r>
          </w:p>
        </w:tc>
        <w:tc>
          <w:tcPr>
            <w:tcW w:w="160" w:type="dxa"/>
            <w:vAlign w:val="bottom"/>
          </w:tcPr>
          <w:p>
            <w:pPr>
              <w:spacing w:after="0"/>
              <w:rPr>
                <w:sz w:val="18"/>
                <w:szCs w:val="18"/>
                <w:color w:val="auto"/>
              </w:rPr>
            </w:pPr>
          </w:p>
        </w:tc>
        <w:tc>
          <w:tcPr>
            <w:tcW w:w="800" w:type="dxa"/>
            <w:vAlign w:val="bottom"/>
            <w:gridSpan w:val="5"/>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2,624</w:t>
            </w:r>
          </w:p>
        </w:tc>
        <w:tc>
          <w:tcPr>
            <w:tcW w:w="3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18,262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19,721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Refundable deposits on GigaCloud Marketplace represent the balance of deposits in Buyers’ and Sellers’ user accounts, which could be withdrawn or used for their future purchase of the Group’s services or merchandise on GigaCloud Marketplace.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2020 and 2021, the Group entered into several lease agreements to lease warehouse storage shelves, from a third party lessor. All of these leases have a lease term of three years from the lease commencement dates. The Group determined that all of these leases were capital leases as the agreements have bargain purchase options. Accordingly, on the respective lease commencement date, the Group recorded capital lease assets and capital lease obligations at an amount equal to the present value of the minimum lease payments.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Group’s capital lease obligations are summarized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820" w:type="dxa"/>
            <w:vAlign w:val="bottom"/>
            <w:gridSpan w:val="2"/>
            <w:vMerge w:val="restart"/>
          </w:tcPr>
          <w:p>
            <w:pPr>
              <w:jc w:val="center"/>
              <w:ind w:left="755"/>
              <w:spacing w:after="0"/>
              <w:rPr>
                <w:sz w:val="20"/>
                <w:szCs w:val="20"/>
                <w:color w:val="auto"/>
              </w:rPr>
            </w:pPr>
            <w:r>
              <w:rPr>
                <w:rFonts w:ascii="Arial" w:cs="Arial" w:eastAsia="Arial" w:hAnsi="Arial"/>
                <w:sz w:val="14"/>
                <w:szCs w:val="14"/>
                <w:b w:val="1"/>
                <w:bCs w:val="1"/>
                <w:color w:val="auto"/>
                <w:w w:val="90"/>
              </w:rPr>
              <w:t>Present value of</w:t>
            </w:r>
          </w:p>
        </w:tc>
        <w:tc>
          <w:tcPr>
            <w:tcW w:w="6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0"/>
                <w:szCs w:val="10"/>
                <w:color w:val="auto"/>
              </w:rPr>
            </w:pPr>
          </w:p>
        </w:tc>
        <w:tc>
          <w:tcPr>
            <w:tcW w:w="1320" w:type="dxa"/>
            <w:vAlign w:val="bottom"/>
            <w:gridSpan w:val="2"/>
            <w:vMerge w:val="restart"/>
          </w:tcPr>
          <w:p>
            <w:pPr>
              <w:jc w:val="center"/>
              <w:ind w:left="215"/>
              <w:spacing w:after="0"/>
              <w:rPr>
                <w:sz w:val="20"/>
                <w:szCs w:val="20"/>
                <w:color w:val="auto"/>
              </w:rPr>
            </w:pPr>
            <w:r>
              <w:rPr>
                <w:rFonts w:ascii="Arial" w:cs="Arial" w:eastAsia="Arial" w:hAnsi="Arial"/>
                <w:sz w:val="14"/>
                <w:szCs w:val="14"/>
                <w:b w:val="1"/>
                <w:bCs w:val="1"/>
                <w:color w:val="auto"/>
                <w:w w:val="90"/>
              </w:rPr>
              <w:t>Present value of</w:t>
            </w:r>
          </w:p>
        </w:tc>
        <w:tc>
          <w:tcPr>
            <w:tcW w:w="6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60" w:type="dxa"/>
            <w:vAlign w:val="bottom"/>
            <w:gridSpan w:val="3"/>
          </w:tcPr>
          <w:p>
            <w:pPr>
              <w:jc w:val="center"/>
              <w:ind w:left="173"/>
              <w:spacing w:after="0" w:line="149" w:lineRule="exact"/>
              <w:rPr>
                <w:sz w:val="20"/>
                <w:szCs w:val="20"/>
                <w:color w:val="auto"/>
              </w:rPr>
            </w:pPr>
            <w:r>
              <w:rPr>
                <w:rFonts w:ascii="Arial" w:cs="Arial" w:eastAsia="Arial" w:hAnsi="Arial"/>
                <w:sz w:val="14"/>
                <w:szCs w:val="14"/>
                <w:b w:val="1"/>
                <w:bCs w:val="1"/>
                <w:color w:val="auto"/>
                <w:w w:val="96"/>
              </w:rPr>
              <w:t>minimum</w:t>
            </w:r>
          </w:p>
        </w:tc>
        <w:tc>
          <w:tcPr>
            <w:tcW w:w="1320" w:type="dxa"/>
            <w:vAlign w:val="bottom"/>
            <w:gridSpan w:val="2"/>
            <w:vMerge w:val="continue"/>
          </w:tcPr>
          <w:p>
            <w:pPr>
              <w:spacing w:after="0"/>
              <w:rPr>
                <w:sz w:val="12"/>
                <w:szCs w:val="12"/>
                <w:color w:val="auto"/>
              </w:rPr>
            </w:pPr>
          </w:p>
        </w:tc>
        <w:tc>
          <w:tcPr>
            <w:tcW w:w="1380" w:type="dxa"/>
            <w:vAlign w:val="bottom"/>
            <w:gridSpan w:val="3"/>
          </w:tcPr>
          <w:p>
            <w:pPr>
              <w:jc w:val="center"/>
              <w:ind w:left="453"/>
              <w:spacing w:after="0" w:line="149" w:lineRule="exact"/>
              <w:rPr>
                <w:sz w:val="20"/>
                <w:szCs w:val="20"/>
                <w:color w:val="auto"/>
              </w:rPr>
            </w:pPr>
            <w:r>
              <w:rPr>
                <w:rFonts w:ascii="Arial" w:cs="Arial" w:eastAsia="Arial" w:hAnsi="Arial"/>
                <w:sz w:val="14"/>
                <w:szCs w:val="14"/>
                <w:b w:val="1"/>
                <w:bCs w:val="1"/>
                <w:color w:val="auto"/>
                <w:w w:val="96"/>
              </w:rPr>
              <w:t>minimum</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minimum</w:t>
            </w:r>
          </w:p>
        </w:tc>
        <w:tc>
          <w:tcPr>
            <w:tcW w:w="6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lease</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the minimum</w:t>
            </w:r>
          </w:p>
        </w:tc>
        <w:tc>
          <w:tcPr>
            <w:tcW w:w="6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lease payments</w:t>
            </w:r>
          </w:p>
        </w:tc>
        <w:tc>
          <w:tcPr>
            <w:tcW w:w="6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payments</w:t>
            </w:r>
          </w:p>
        </w:tc>
        <w:tc>
          <w:tcPr>
            <w:tcW w:w="3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lease payments</w:t>
            </w:r>
          </w:p>
        </w:tc>
        <w:tc>
          <w:tcPr>
            <w:tcW w:w="6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payments</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After 1 year but within 2 years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After 2 years but within 3 years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6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6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Less: total future interest expense</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Present value of lease obligations</w:t>
            </w:r>
          </w:p>
        </w:tc>
        <w:tc>
          <w:tcPr>
            <w:tcW w:w="84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Including:</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Current portion</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F-32</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Group leases its warehouses and offices under noncancelable lease agreements that are classified as operating leases. The Group’s operating leases will expire from 2021 to 2028. Cost and expenses incurred under the operating leases were US$6,775, US$12,657 and US$22,926 for the years ended December 31, 2019, 2020 and 2021, respectively.</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Future minimum operating lease payments as of December 31, 2021 are summarized as follow:</w:t>
      </w:r>
    </w:p>
    <w:p>
      <w:pPr>
        <w:spacing w:after="0" w:line="244" w:lineRule="exact"/>
        <w:rPr>
          <w:sz w:val="20"/>
          <w:szCs w:val="20"/>
          <w:color w:val="auto"/>
        </w:rPr>
      </w:pPr>
    </w:p>
    <w:tbl>
      <w:tblPr>
        <w:tblLayout w:type="fixed"/>
        <w:tblInd w:w="3540" w:type="dxa"/>
        <w:tblCellMar>
          <w:top w:w="0" w:type="dxa"/>
          <w:left w:w="0" w:type="dxa"/>
          <w:bottom w:w="0" w:type="dxa"/>
          <w:right w:w="0" w:type="dxa"/>
        </w:tblCellMar>
      </w:tblPr>
      <w:tr>
        <w:trPr>
          <w:trHeight w:val="191"/>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ended December 31, 2021</w:t>
            </w:r>
          </w:p>
        </w:tc>
        <w:tc>
          <w:tcPr>
            <w:tcW w:w="160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r>
      <w:tr>
        <w:trPr>
          <w:trHeight w:val="203"/>
        </w:trPr>
        <w:tc>
          <w:tcPr>
            <w:tcW w:w="18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2022</w:t>
            </w:r>
          </w:p>
        </w:tc>
        <w:tc>
          <w:tcPr>
            <w:tcW w:w="1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31,054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2023</w:t>
            </w:r>
          </w:p>
        </w:tc>
        <w:tc>
          <w:tcPr>
            <w:tcW w:w="2300" w:type="dxa"/>
            <w:vAlign w:val="bottom"/>
            <w:gridSpan w:val="3"/>
          </w:tcPr>
          <w:p>
            <w:pPr>
              <w:jc w:val="right"/>
              <w:ind w:right="80"/>
              <w:spacing w:after="0"/>
              <w:rPr>
                <w:sz w:val="20"/>
                <w:szCs w:val="20"/>
                <w:color w:val="auto"/>
              </w:rPr>
            </w:pPr>
            <w:r>
              <w:rPr>
                <w:rFonts w:ascii="Arial" w:cs="Arial" w:eastAsia="Arial" w:hAnsi="Arial"/>
                <w:sz w:val="18"/>
                <w:szCs w:val="18"/>
                <w:color w:val="auto"/>
              </w:rPr>
              <w:t>28,101</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24,543</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2025</w:t>
            </w:r>
          </w:p>
        </w:tc>
        <w:tc>
          <w:tcPr>
            <w:tcW w:w="2300" w:type="dxa"/>
            <w:vAlign w:val="bottom"/>
            <w:gridSpan w:val="3"/>
          </w:tcPr>
          <w:p>
            <w:pPr>
              <w:jc w:val="right"/>
              <w:ind w:right="80"/>
              <w:spacing w:after="0"/>
              <w:rPr>
                <w:sz w:val="20"/>
                <w:szCs w:val="20"/>
                <w:color w:val="auto"/>
              </w:rPr>
            </w:pPr>
            <w:r>
              <w:rPr>
                <w:rFonts w:ascii="Arial" w:cs="Arial" w:eastAsia="Arial" w:hAnsi="Arial"/>
                <w:sz w:val="18"/>
                <w:szCs w:val="18"/>
                <w:color w:val="auto"/>
              </w:rPr>
              <w:t>19,421</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14,914</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2027</w:t>
            </w:r>
          </w:p>
        </w:tc>
        <w:tc>
          <w:tcPr>
            <w:tcW w:w="2300" w:type="dxa"/>
            <w:vAlign w:val="bottom"/>
            <w:gridSpan w:val="3"/>
          </w:tcPr>
          <w:p>
            <w:pPr>
              <w:jc w:val="right"/>
              <w:ind w:right="80"/>
              <w:spacing w:after="0"/>
              <w:rPr>
                <w:sz w:val="20"/>
                <w:szCs w:val="20"/>
                <w:color w:val="auto"/>
              </w:rPr>
            </w:pPr>
            <w:r>
              <w:rPr>
                <w:rFonts w:ascii="Arial" w:cs="Arial" w:eastAsia="Arial" w:hAnsi="Arial"/>
                <w:sz w:val="18"/>
                <w:szCs w:val="18"/>
                <w:color w:val="auto"/>
              </w:rPr>
              <w:t>8,353</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PREFERRED SHARES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On September 1, 2006, DCM IV, L.P. (“DCM IV”), DCM Affiliates Fund IV, L.P. (“DCM IV Affiliates”, together with DCM IV are referred to as “DCM”) and DT Ventures China Fund II, L.P. (“DT”) lent loans with an aggregate amount of US$600 to the Company. The loans assumed an interest rate of 7.04% per annum.</w:t>
      </w:r>
    </w:p>
    <w:p>
      <w:pPr>
        <w:spacing w:after="0" w:line="18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On November 23, 2006, DCM IV, DCM IV Affiliates and DT respectively subscribed 83,477 shares, 2,123 shares and 36,400 shares of Series A Convertible Preferred Shares (in aggregate of 122,000 shares, “Series A Preferred Shares”), at US$50 per share with total cash consideration of US$6,100. On the same day, DCM IV, DCM IV Affiliates and DT converted the loans and accrued interest, with total amount of US$610, into 8,322 shares, 211 shares and 3,657 shares of Series A Preferred Shares, respectively, (12,190 shares in aggregate), at US$50 per share.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Shares</w:t>
      </w:r>
    </w:p>
    <w:p>
      <w:pPr>
        <w:spacing w:after="0" w:line="22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On February 25, 2009, DCM and DT lent loans with an aggregate amount of US$2,500 to the Company. The loans did not bear an interest rate. On February 28, 2013, DCM IV, DCM IV Affiliates and DT respectively subscribed to 4,462,264, 113,478 and 1,708,431 of Series B Convertible Preferred Shares (in aggregate of 6,284,173 shares, “Series B Preferred Shares”), at US$0.32 per share with total consideration of US$2,000. On the same day, DCM IV, DCM IV Affiliates and DT converted the loans with total amount of US$2,500 into 5,373,699 shares, 136,656 shares and 2,344,859 shares of Series B Preferred Shares, respectively, (7,855,214 shares in aggregate) at US$0.32 per share. On February 28, 2013, Larry Lei Wu subscribed 1,571,043 shares of Series B Preferred Shares at US$0.32 per share with total cash consideration of US$500.</w:t>
      </w:r>
    </w:p>
    <w:p>
      <w:pPr>
        <w:spacing w:after="0" w:line="164"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On February 28, 2013, the Company entered into a share repurchase agreement, pursuant to which the Company repurchased 4,075,522 shares, 103,643 shares and 1,539,677 shares of Series B Preferred Shares from DCM IV, DCM IV Affiliates and DT, respectively, (in aggregate of 5,718,842 shares, “Repurchased Shares”) ,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 repurchase consideration of one U.S. dollar for each investor. All of these Repurchased Shares were canceled immediately on the same day. The Company considered such repurchase a linked transaction with the subscription of Series B Preferred Shares as mentioned in above.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Shares</w:t>
      </w:r>
    </w:p>
    <w:p>
      <w:pPr>
        <w:spacing w:after="0" w:line="225"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On August 1, 2014, the Company acquired Comptree International Limited. (“Comptree”) by issuing 2,905,802 shares of ordinary shares to FireDragon Holdings Inc. (“FireDragon”), 964,981 ordinary shares to DCM IV, 24,540 ordinary shares to DCM IV Affiliates and 4,358,702 Series C convertible Preferred Shares (“Series C Preferred Shares”) to DT eCommerce Investment Limited (“DT eCommerce”) in exchange for 100% shares of interests in Comptree held by FireDragon and DT eCommerce, for the purpose of the Group’s business expansion into the United States. FireDragon was owned by the founder of Comptree. DT eCommerce was under common control of DT. Based on the mutual understanding of all parties, 794,822 shares of ordinary shares issued to FireDragon was shares granted to Lianya Pan for his continuing service to the Group, who was the previous chief executive officer of Comptree and sole shareholder of FireDragon. The remaining ordinary shares issued to FireDragon and Series C Preferred Shares issued to DT eCommerce were considered as the acquisition consideration of Comptree.</w:t>
      </w:r>
    </w:p>
    <w:p>
      <w:pPr>
        <w:spacing w:after="0" w:line="16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Regarding the common shares and Series C Preferred Shares issued as mentioned above, the Company measured their fair value as of the acquisition date. Fair value is estimated based a discounted cash flow method, as of the valuation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Shares</w:t>
      </w:r>
    </w:p>
    <w:p>
      <w:pPr>
        <w:spacing w:after="0" w:line="225"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On March 27, 2017, Hong Kong Red Star Macalline Universal Home Furnishings Limited (“Red Star”) subscribed 2,943,786 Series D Convertible Preferred Shares (“Series D Preferred Shares”) at US$2.74 per share with total cash consideration of US$8,053.</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Preferred Shares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On November 24, 2020, Honeysuckle Creek Limited (“JD”) and HUA YUAN INTERNATIONAL LIMITED (“HUA YUAN”) respectively subscribed 2,719,802 shares and 1,279,907 Series E Convertible Redeemable Preferred Shares (in aggregate of 3,999,709 shares, “Series E Preferred Shares”), at US$6.25 per share with total cash consideration of US$25,000.</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rights, preferences and privileges of the Preferred Shares are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redemption rights for the Series A, B, C, and D Preferred Shares.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investors of Series E Preferred Shares have a right to require the Company to redeem their investments, at any time and from time to time on or after the date of the earliest to occur of the following (i) the Company fails to complete a qualified initial public offering (“IPO”) within seven years after the closing date; (ii) any material breach by any warrantor of any of their respective representations, warranties, covenants or undertakings under the transaction documents; (iii) any commission of, or participation in, fraudulent act or act of dishonesty by any founder against any company within the Group which has severely harm interests of the Series E shareholders; (iv) loss of control; (v) the termination of employment of Larry Lei Wu with any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within the Group; (vi) the occurrence of non-compliance with or violation of any applicable laws by any company within the Group which have a material adverse effect; (vii) the shareholders of Series A, B, C, and D Preferred Shares have become entitled to request, and have so requested, redemption of their Preferred Shares.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redemption price equals to 100% of the Series E Preferred Shares issue price with an 6% compound per annum, plus any declared but unpaid dividends on such Preferred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At the option of the holders, each Preferred Share, all or any portion of that, may be converted at any time prior to a qualified IPO after the original issue date into ordinary shares at an initial conversion ratio of 1:1. Further, without any action being required by the holder of such share and whether or not the certificates representing such share are surrendered to the Company or its transfer agent, the Preferred Share shall automatically be converted into ordinary shares upon (i) the closing of a qualified IPO, based on the then effective applicable conversion price or (ii) the date specified by written consent or agreement of the holders of seventy-five percent (75%) of the then outstanding Preferred Shares.</w:t>
      </w:r>
    </w:p>
    <w:p>
      <w:pPr>
        <w:spacing w:after="0" w:line="17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In case the Company shall (a) pay a dividend or make a distribution on its ordinary shares in ordinary shares, (b) subdivide or reclassify its outstanding ordinary shares into a greater number of shares, or (c) combine or reclassify its outstanding ordinary shares into a smaller number of shares, the applicable conversion price in effect immediately prior to such event shall be adjusted so that the holder of the Preferred Shares thereafter converted shall be entitled to receive the number of ordinary shares of the Company which it would have owned or have been entitled to receive after the happening of such event had the Preferred Shares been converted immediately prior to the happening of such event. An adjustment shall become effective immediately after the record date in the case of a dividend or distribution and shall become effective on the effective date in the case of subdivision, combination or reclassification. If any dividend or distribution is not paid or made, the applicable conversion price then in effect shall be appropriately readjusted.</w:t>
      </w:r>
    </w:p>
    <w:p>
      <w:pPr>
        <w:spacing w:after="0" w:line="192"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The conversion of Preferred Shares may be effected, to the extent permitted by the statute, by any of the following methods: (i) a redesignation of the Preferred Shares being converted; (ii) a repurchase of such Preferred Shares and issue of the relevant number of ordinary shares; or (iii) in other manner as the board of directors may determine (including affirmative vote) and as permitted by the statute.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Each Preferred Share has voting rights equivalent to the number of ordinary shares into which such Preferred Shares could be then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Non-cumulative dividends per Preferred Share of 8% per annum when and if declared by the board of the Company, prior and in preference to holders of all other current or future class or series of shares of the Company, including the ordinary shares. After the preferential dividends have been paid in full or declared and set apart in any fiscal year of the Company, any additional dividends out of funds legally available therefor may be declared in that fiscal year for the ordinary shares and, if such additional dividends are declared, then such additional dividends shall be declared pro rata on the ordinary shares and all Preferred Shares on an as-converted basis.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225"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In the event of any liquidation, holders of the Preferred Shares shall be entitled to receive, prior and in preference to any distribution or payment shall be made to the holders of any ordinary shares, the liquidation preference amount per share is equal to one hundred percent (100%) of the original issue price on each Preferred Share (adjusted for any share splits, share dividends, combinations, recapitalizations and similar transactions), as the case may be, plus all dividends accrued and unpaid with respect thereto (as adjusted for any share splits, share dividends, combinations, recapitalizations and similar transactions) per Series A to E Preferred Shares, except the Series C, then held by such holder.</w:t>
      </w:r>
    </w:p>
    <w:p>
      <w:pPr>
        <w:spacing w:after="0" w:line="16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Liquidation preference is as follows in sequence: Series E Preferred Shares, Series D Preferred Shares, Series B Preferred Shares, Series A Preferred Shares. After distribution or payment of the subscription price in full, of the liquidation preference amount distributable or payable on the Series E Preferred Shares, Series D Preferred Shares, Series B Preferred Shares and Series A Preferred Shares, the remaining assets of the Company available for distribution to members shall be distributed ratably among the holders of outstanding ordinary shares and holders of outstanding Preferred Shares on an as-converted basis.</w:t>
      </w:r>
    </w:p>
    <w:p>
      <w:pPr>
        <w:spacing w:after="0" w:line="18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If the Company increases its share capital at a price lower than the price paid by the investors on a per share basis, the investors have a right to require the Company to issue new shares for nil consideration (or nominal consideration) to the investors, so that the total amount paid by the investors divided by the total amount of share capital obtained is equal to the price per share in the new issuance.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Drag-along Rights</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Regarding Series A, B and C Preferred Shares, in the event that (i) at any time after the closing date, the Company receives an offer from any person, who has delivered a good faith written offer to purchase all or any portion of a shareholder’s shares, including without limitation, the beneficial ownership of any shareholder’s shares through the transfer of any of the underlying equity ownership of such shareholder, that if consummated, will result in a deemed liquidation event, and (ii) such offer is approved by the holders of at least seventy-five percent (75%) of the total issued and outstanding Preferred Shares, then the Company and each shareholder agree that: (i) the Company shall send written notice to all existing shareholders within five business days of receipt of the offer; and, (ii) the holders of ordinary shares shall sell and transfer, and shall procure all holders of ordinary/preferred shares to sell and transfer, their ordinary/preferred shares on terms and conditions set forth in the offer.</w:t>
      </w:r>
    </w:p>
    <w:p>
      <w:pPr>
        <w:spacing w:after="0" w:line="177"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Regarding Series D and E Preferred Shares, in the event that (i) at any time after the closing date, the Company receives an offer from any person, who has delivered a good faith written offer to purchase all or any portion of a shareholder’s shares, including without limitation, the benefit ownership of any shareholder’s shares through the transfer of any of the underlying equity ownership of such shareholder, that if consummated, will result in a deemed liquidation event, and (ii) such offer is approved by the holders of at least seventy-five percent (75%) of the total issued and outstanding Preferred Shares and the holders of at least fifty-one percent (51%) of the total issued and outstanding ordinary shares, then the Company and each shareholder agree that: (i) the Company shall send written notice to all existing shareholders within five business days of receipt of the offer; and, (ii) the holders of ordinary shares shall sell and transfer, and shall procure all holders of ordinary/preferred shares to sell and transfer, their ordinary/preferred shares on terms and conditions set forth in the offer.</w:t>
      </w:r>
    </w:p>
    <w:p>
      <w:pPr>
        <w:spacing w:after="0" w:line="178"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If the Drag-along rights are triggered on or prior to the fifth anniversary from the closing date, the Drag-along rights shall not apply unless such the sale results in aggregate proceeds of an agreed amount, of at least US$40,000 for the Series A, B and C Preferred Shares, or US$150,000 for the Series D and E Preferred Shares. The Drag-along rights shall terminate upon a qualified IPO.</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purchase additional shares</w:t>
      </w:r>
    </w:p>
    <w:p>
      <w:pPr>
        <w:spacing w:after="0" w:line="225"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On March 27, 2017, the Company entered an Adjustment Agreement (the “VAM Agreement”) with Larry Lei Wu, certain management team members and Red Star, the Series D Preferred Shareholder. The VAM Agreement gives Red Star the option to require (i) the Company to acquire certain ordinary shares and vested stock options from management and Larry Lei Wu at a nominal price of one U.S. dollar and (ii) issue additional Series D Preferred shares to Red Star, also at a nominal price of one U.S. dollar (the “Warrant”), under certain condition when milestones stipulated in the VAM Agreement could not be satisfied.</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Milestones have been stipulated in the VAM Agreement and the parties agree that no adjustment under this VAM Agreement will be made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238" w:lineRule="exact"/>
        <w:rPr>
          <w:sz w:val="20"/>
          <w:szCs w:val="20"/>
          <w:color w:val="auto"/>
        </w:rPr>
      </w:pPr>
    </w:p>
    <w:p>
      <w:pPr>
        <w:ind w:left="1420" w:hanging="427"/>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2017 sales revenue exceeds US$79,200, and the 2018 net profits exceed US$6,300; or</w:t>
      </w:r>
    </w:p>
    <w:p>
      <w:pPr>
        <w:spacing w:after="0" w:line="252" w:lineRule="exact"/>
        <w:rPr>
          <w:rFonts w:ascii="Arial" w:cs="Arial" w:eastAsia="Arial" w:hAnsi="Arial"/>
          <w:sz w:val="18"/>
          <w:szCs w:val="18"/>
          <w:color w:val="auto"/>
        </w:rPr>
      </w:pPr>
    </w:p>
    <w:p>
      <w:pPr>
        <w:ind w:left="1420" w:right="60" w:hanging="427"/>
        <w:spacing w:after="0" w:line="286" w:lineRule="auto"/>
        <w:tabs>
          <w:tab w:leader="none" w:pos="14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completes a qualified financing prior to June 30, 2019, for which the pre-money valuation of the Company in such one or more rounds of financing shall be no less than US$144,953 (the “Target Valuation”) with a total investment amount or subscription price in such next one or more rounds of financing transaction of no less than US$3,000.</w:t>
      </w:r>
    </w:p>
    <w:p>
      <w:pPr>
        <w:spacing w:after="0" w:line="16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VAM Agreement also stipulates the adjustment procedures, that the Company and Larry Lei Wu and those management team members shall procure the Company to, promptly furnish to Red Star, prior to July 15, 2019, a written statement setting forth whether there is an adjustment, showing in detail the facts upon which the adjustment is based on (if any) (the “Company’s Notice”) with the 2017 financial statements, the 2018 financial statements, and/or the financing documents relating to the milestones. Red Star shall be entitled to furnish to the Company a written statement (the “Investor’s Notice”) requesting the adjustment before September 30, 2019.</w:t>
      </w:r>
    </w:p>
    <w:p>
      <w:pPr>
        <w:spacing w:after="0" w:line="18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This VAM Agreement shall be terminated upon the occurrence of any of the following events: (i) the parties agree to terminate this VAM Agreement; or (ii) the adjustment exemption applies upon the confirmation of Red Star; or (iii) Red Star has not furnished the Investor’s Notice to the Company prior to September 30, 2019.</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satisfied the milestone of 2017 sales revenue, failed the milestones of 2018 net profits and the failed to complete a qualified financing prior to June 30, 2019. The Company sent a notice to Red Star before July 15, 2019. However, Red Star did not furnish the Investor’s Notice to the Company. Therefore, the Company was not required to perform the adjustment procedures, acquiring any ordinary share and vested options from Larry Lei Wu and the management team or sell additional Series D Preferred Shares to Red Star. The VAM Agreement was terminated on September 30, 2019.</w:t>
      </w:r>
    </w:p>
    <w:p>
      <w:pPr>
        <w:spacing w:after="0" w:line="18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The Company classified Series E Preferred Shares as mezzanine equity in the consolidated balance sheets, as they are contingently redeemable upon occurrence of certain events outside of the sole control of the Company. The Company recognized changes in the redemption value immediately as they occur and adjust the carrying value of the Series E Preferred Shares to equal the redemption value at the end of each reporting period, as if it were also the redemption date of the Preferred Shares.</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 xml:space="preserve">The Company classified Series A, B, C and D Preferred Shares as permanent equity according to temporary equity exception in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480-10-S99-3A(3f)</w:t>
      </w:r>
      <w:r>
        <w:rPr>
          <w:rFonts w:ascii="Arial" w:cs="Arial" w:eastAsia="Arial" w:hAnsi="Arial"/>
          <w:sz w:val="18"/>
          <w:szCs w:val="18"/>
          <w:color w:val="auto"/>
        </w:rPr>
        <w:t>. Once a deemed liquidation event is triggered, all preferred shareholders are entitled to request the Company to liquidate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proceeds being distributed among all shareholders based on the stipulated liquidation preference. The Company’s shareholders would receive the same form of consideration.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 xml:space="preserve">The Company evaluated the embedded conversion and redemption options in the series of Preferred Shares to determine if the embedded conversion option require bifurcation and accounting for as a derivative, and concluded that the embedded conversion and redemption options of Preferred Shares did not need to be bifurcated pursuant to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because these terms do not permit net settlement, nor can they be readily settled net by a means outside the contract, nor can they provide for delivery of an asset that puts the holders in a position not substantially different from net settlement. The Company also determined that there was no beneficial conversion feature attributable to Preferred Shares because the initial effective conversion prices of these Preferred Shares were higher than the fair value of the Company’s ordinary shares at the relevant commitment dates. The fair value of the Company’s ordinary shares on the commitment date was estimated by management, which involves significant assumptions that might not be observable in the market, and a number of complex and subjective variables, including discount rate, risk-free interest rate and subjective judgments regarding the Company’s projected financial and operating results, its unique business risks, the liquidity of its ordinary shares and its operating history and prospects at the time the grants are made.</w:t>
      </w:r>
    </w:p>
    <w:p>
      <w:pPr>
        <w:spacing w:after="0" w:line="168"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The Company determined that the Warrant granted to Red Star should not be identified as a freestanding instrument, nor should it be bifurcated, as the option could not be separate and apart from Series D Preferred Shares, nor could it be legally detachable and separately exercisable from host contract. Further, the Warrant is not considered as a derivative either, because there is no net settlement available as the Company is not a listed company.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Company’s Preferred Shares activities, for the Series E Preferred Shares which are classified as mezzanine equity, for the years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2020 and 2021 consisted of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Series E</w:t>
            </w:r>
          </w:p>
        </w:tc>
        <w:tc>
          <w:tcPr>
            <w:tcW w:w="0" w:type="dxa"/>
            <w:vAlign w:val="bottom"/>
          </w:tcPr>
          <w:p>
            <w:pPr>
              <w:spacing w:after="0"/>
              <w:rPr>
                <w:sz w:val="1"/>
                <w:szCs w:val="1"/>
                <w:color w:val="auto"/>
              </w:rPr>
            </w:pPr>
          </w:p>
        </w:tc>
      </w:tr>
      <w:tr>
        <w:trPr>
          <w:trHeight w:val="171"/>
        </w:trPr>
        <w:tc>
          <w:tcPr>
            <w:tcW w:w="990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 and December 31, 2019</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Issuance for cash</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Accretion of Preferred Shares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25,152</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Accretion of Preferred Shares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26,652</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b w:val="1"/>
                <w:bCs w:val="1"/>
                <w:color w:val="auto"/>
              </w:rPr>
              <w:t>12. ORDINARY SHARES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As of December 31, 2020, the Company’s authorized ordinary shares were 38,572,025 with par value of US$0.05 per share. The number of ordinary shares issued and outstanding was 9,495,844.</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On July 11, 2021, the board of directors resolved to approve the exercise of 1,587,086 share options (See Note 13). The number of ordinary shares issued and outstanding was 11,082,930 as of December 31,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2008 Share Incentive Plan</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Company’s board of directors resolved to approve the share award scheme (the “2008 Share Incentive Plan” or the “2008 Plan”), by issuing the directors and employees shares or by permitting them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purchase shares. Prior to January 1, 2019, the Group granted 2,152,830 share awards under 2008 Plan, pursuant to which, the directors and employees are required to serve the Group for a specified period after the grant. The share awards can only be exercised upon the consummation of a qualified initial public offering (“a qualified IPO”) by the Group. All services conditions for these share awards had been met prior to January 1, 2019.</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On March 27, 2017, the board of directors resolved to approve another share award scheme (the “2017 Share Incentive Plan” or the “2017 Plan”) to the Group’s eligible employees and non-employee service providers.</w:t>
      </w:r>
    </w:p>
    <w:p>
      <w:pPr>
        <w:spacing w:after="0" w:line="170"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2020, 2,833,812 share awards under 2017 Plan were granted, of which, 114,258 share awards were granted to non-employee service providers for providing operation consultation and business development services. The remaining 2,719,554 share awards were granted to the Group’s directors and employees.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July 2021, the board of directors further resolved to grant 1,160,557 share options to the Group’s eligible employees under the 2017 Plan.</w:t>
      </w:r>
    </w:p>
    <w:p>
      <w:pPr>
        <w:spacing w:after="0" w:line="248"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Under the 2017 Plan, all share awards granted to employees and non-employees services providers are only exercisable upon the consummation of a qualified IPO. Also, 1,661,635 share awards granted under the 2017 Plan had service condition that requires the grantees to render services for a period ranged from six months to forty-two months under which the grantees earn an entitlement to vest over such stipulated services period.</w:t>
      </w:r>
    </w:p>
    <w:p>
      <w:pPr>
        <w:spacing w:after="0" w:line="187"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On October 15, 2020, Larry Lei Wu entered into an arrangement with the Company, whereby 389,486 share options were repurchased by the Company with the price at US$6.25 per share with total consideration of US$2,435. The repurchases did not trigger the consideration of classification of the share options from equity to liability, as the repurchase was within the sole control of the Company.</w:t>
      </w:r>
    </w:p>
    <w:p>
      <w:pPr>
        <w:spacing w:after="0" w:line="16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On July 11, 2021, the Company’s board of directors resolved to approve the immediate exercise of 1,587,086 share options, which were granted under the 2017 Plan to certain directors and key employees on July 1, 2020 and July 1, 2021, respectively. These share options were originally exercisable upon a qualified IPO before expiration date of ten years after grant dates. The Group accounted for the modification as a Type III (not probable-to-probable) modification. Such modification resulted in unrecognized share-based compensation expenses of US$9,681 as general and administrative expenses in the consolidated statement of comprehensive income for the year ended December 31, 2021. As of December 31, 2021, the Group had not received the exercise price for these modified shares awards, and therefore recorded subscription receivable of US$79 in the consolidated balance sheet.</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Except for the repurchase of 389,486 share awards in 2020 and the modification of 1,587,086 awards made to certain directors and key employees in 2021, all outstanding share awards as of January 1, 2019 and during the three-year period ended December 31, 2021 granted under 2008 Plan and 2017 Plan can only be exercised upon the consummation of a qualified IPO before expiration date of ten years after the date of the awards. The completion of a qualified IPO is considered a performance condition of the awards. A qualified IPO is not considered being probable by management before it is completed. Under ASC 718, compensation cost should be recognized if it is probable that the performance condition will be achieved. As a result, no compensation expense was recognized related to these shares awards.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share options activities for the years ended December 31, 2019, 2020 and 2021 is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date fair value</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5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r>
              <w:rPr>
                <w:rFonts w:ascii="Arial" w:cs="Arial" w:eastAsia="Arial" w:hAnsi="Arial"/>
                <w:sz w:val="14"/>
                <w:szCs w:val="14"/>
                <w:b w:val="1"/>
                <w:bCs w:val="1"/>
                <w:i w:val="1"/>
                <w:iCs w:val="1"/>
                <w:color w:val="auto"/>
                <w:w w:val="95"/>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 and December 31, 2019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2,152,830</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4.97</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2,833,812</w:t>
            </w:r>
          </w:p>
        </w:tc>
        <w:tc>
          <w:tcPr>
            <w:tcW w:w="52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Repurchased</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(389,486)</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6.25</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4,597,156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79"/>
              </w:rPr>
              <w:t>0.05</w:t>
            </w: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date fair value</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5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4,597,156</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1,160,557</w:t>
            </w:r>
          </w:p>
        </w:tc>
        <w:tc>
          <w:tcPr>
            <w:tcW w:w="52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6.10</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1"/>
              </w:rPr>
              <w:t>(1,587,086)</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0.05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Outstanding at December 31, 2021</w:t>
            </w: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4,170,627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79"/>
              </w:rPr>
              <w:t>0.05</w:t>
            </w: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0.57</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5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firstLine="881"/>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awards and the estimated fair value of the underlying stock at each reporting date.</w:t>
      </w:r>
    </w:p>
    <w:p>
      <w:pPr>
        <w:spacing w:after="0" w:line="170"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The fair values of the options granted are estimated on the dates of grant using the binomial option pricing model with the following assumptions used:</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dates:</w:t>
            </w:r>
          </w:p>
        </w:tc>
        <w:tc>
          <w:tcPr>
            <w:tcW w:w="4860" w:type="dxa"/>
            <w:vAlign w:val="bottom"/>
            <w:vMerge w:val="restart"/>
          </w:tcPr>
          <w:p>
            <w:pPr>
              <w:spacing w:after="0"/>
              <w:rPr>
                <w:sz w:val="14"/>
                <w:szCs w:val="14"/>
                <w:color w:val="auto"/>
              </w:rPr>
            </w:pPr>
          </w:p>
        </w:tc>
        <w:tc>
          <w:tcPr>
            <w:tcW w:w="22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3"/>
        </w:trPr>
        <w:tc>
          <w:tcPr>
            <w:tcW w:w="800" w:type="dxa"/>
            <w:vAlign w:val="bottom"/>
            <w:tcBorders>
              <w:bottom w:val="single" w:sz="8" w:color="auto"/>
            </w:tcBorders>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7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0.67%</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45.23%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Exercise multiple</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2.20/2.80</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2.20/2.80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underlying ordinary share</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US$2.35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US$6.15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Expected terms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10 years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expected volatility was estimated based on the historical volatility of comparable peer public companies with a time horizon close to the expected term of the Group’s options. The risk-free interest rate was estimated based on the yield to maturity of U.S. treasury bonds denominated in US$ for a term consistent with the expected term of the Group’s options in effect at the option valuation date. Expected dividend yield is zero as the Group does not anticipate any dividend payments in the foreseeable future. The expected exercise multiple was estimated as the average ratio of the stock price to the exercise price of when employees would decide to voluntarily exercise their vested options. Expected term is the contract life of the option.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Total compensation expenses recognized for share options for the years ended December 31, 2019, 2020 and 2021 are allocated to the following expense items.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2019</w:t>
            </w:r>
          </w:p>
        </w:tc>
        <w:tc>
          <w:tcPr>
            <w:tcW w:w="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US$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restated</w:t>
            </w:r>
          </w:p>
        </w:tc>
        <w:tc>
          <w:tcPr>
            <w:tcW w:w="440" w:type="dxa"/>
            <w:vAlign w:val="bottom"/>
          </w:tcPr>
          <w:p>
            <w:pPr>
              <w:spacing w:after="0"/>
              <w:rPr>
                <w:sz w:val="12"/>
                <w:szCs w:val="12"/>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 compensation expenses</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As of December 31, 2021, the fair value of vested and non-vested share options granted to employee and non-employee service providers, which are not exercisable, amounted to US$5,393. The Group will recognize compensation expenses relating to the awards cumulatively upon the consummation of a qualified IPO.</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Income tax</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The United States of America</w:t>
      </w:r>
    </w:p>
    <w:p>
      <w:pPr>
        <w:spacing w:after="0" w:line="225"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 U.S. subsidiaries are subject to U.S. federal income taxes and state and local income taxes. In connection with U.S. tax legislation enacted in December 2017, the federal income tax rate for corporations changed to 21% beginning from January 1, 2018, while state income tax rates generally remained the same as in previous years. The U.S. federal income tax rules also provide for enhanced accelerated depreciation deductions by allowing the election of full expensing of qualified property, primarily equipment, through 2022.</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Dividends received from U.S. corporation are U.S. source and would be subject to 30% withholding tax, unless reduced by a tax treaty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Hong Kong S.A.R.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Under the current Hong Kong S.A.R. Inland Revenue Ordinance, the Company’s Hong Kong S.A.R. subsidiary is subject to Hong</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Kong S.A.R. profits tax at the rate of 16.5% on its taxable income generated from the operations in Hong Kong S.A.R. The first HK$2,000 of assessable profits earned by a company will be taxed at 8.25% whilst the remaining profits will continue to be taxed at 16.5%. There is an anti-fragmentation measure where each group will have to nominate only one company in the group to benefit from the progressive rates. Payments of dividends by the Hong Kong S.A.R. subsidiary to the Company is not subject to withholding tax in Hong Kong S.A.R.</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The PRC</w:t>
      </w:r>
    </w:p>
    <w:p>
      <w:pPr>
        <w:spacing w:after="0" w:line="225" w:lineRule="exact"/>
        <w:rPr>
          <w:sz w:val="20"/>
          <w:szCs w:val="20"/>
          <w:color w:val="auto"/>
        </w:rPr>
      </w:pPr>
    </w:p>
    <w:p>
      <w:pPr>
        <w:ind w:left="120" w:right="480" w:firstLine="881"/>
        <w:spacing w:after="0" w:line="342" w:lineRule="auto"/>
        <w:rPr>
          <w:sz w:val="20"/>
          <w:szCs w:val="20"/>
          <w:color w:val="auto"/>
        </w:rPr>
      </w:pPr>
      <w:r>
        <w:rPr>
          <w:rFonts w:ascii="Arial" w:cs="Arial" w:eastAsia="Arial" w:hAnsi="Arial"/>
          <w:sz w:val="16"/>
          <w:szCs w:val="16"/>
          <w:color w:val="auto"/>
        </w:rPr>
        <w:t>Under the Enterprise Income Tax Law (“EIT Law”) in the PRC, domestic companies are subject to EIT at a uniform rate of 25%. The Company’s PRC subsidiaries and VIEs are subject to the statutory income tax rate at 25%, unless a preferential EIT rate is otherwise stipulated.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On December 24, 2019, the Company’s wholly-owned subsidiary, OS Suzhou, obtained a certificate from related authorities of local government for “Advanced Technology Service Enterprise (“ATSE”) qualification. This certificate entitled OS Suzhou to enjoy a preferential income tax rate of 15% for a period of three years from 2019 to 2021 if all the criteria for ATSE status could be satisfied in the relevant years.</w:t>
      </w:r>
    </w:p>
    <w:p>
      <w:pPr>
        <w:spacing w:after="0" w:line="149"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Under the EIT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Dividends paid to non-PRC-resident corporate investor from profits earned by the PRC subsidiaries after January 1, 2008 would be subject to a withholding tax. The EIT Law and its relevant regulations impose a withholding tax at 10%, unless reduced by a tax treaty or agreement, for dividends distributed by a PRC-resident enterprise to its non-PRC-resident corporate investor for earnings generated beginning on January 1, 2008. As at December 31, 2020 and 2021, earnings from all foreign subsidiaries and VIEs will be indefinitely reinvested. Hence, the Group has not provided for deferred tax liabilities on undistributed earnings for PRC subsidiaries.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income before income taxes are as follows: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left="376"/>
              <w:spacing w:after="0" w:line="119" w:lineRule="exact"/>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(Restated)</w:t>
            </w: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Hong Kong S.A.R.</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4,870</w:t>
            </w:r>
          </w:p>
        </w:tc>
        <w:tc>
          <w:tcPr>
            <w:tcW w:w="158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37,211</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4"/>
              </w:rPr>
              <w:t>35,825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The PRC, excluding Hong Kong S.A.R.</w:t>
            </w: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246</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143</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The U.S.</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657</w:t>
            </w:r>
          </w:p>
        </w:tc>
        <w:tc>
          <w:tcPr>
            <w:tcW w:w="158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7,158</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Others</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(971)</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763</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4,802</w:t>
            </w:r>
          </w:p>
        </w:tc>
        <w:tc>
          <w:tcPr>
            <w:tcW w:w="158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45,275</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37,725</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880"/>
              <w:spacing w:after="0"/>
              <w:rPr>
                <w:sz w:val="20"/>
                <w:szCs w:val="20"/>
                <w:color w:val="auto"/>
              </w:rPr>
            </w:pPr>
            <w:r>
              <w:rPr>
                <w:rFonts w:ascii="Arial" w:cs="Arial" w:eastAsia="Arial" w:hAnsi="Arial"/>
                <w:sz w:val="18"/>
                <w:szCs w:val="18"/>
                <w:color w:val="auto"/>
              </w:rPr>
              <w:t>F-42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For the years ended December 31, 2019, 2020 and 2021, the current income tax expense and deferred income tax expense which are included in the consolidated financial statements are as follows: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12"/>
          </w:tcPr>
          <w:p>
            <w:pPr>
              <w:jc w:val="right"/>
              <w:ind w:right="48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 Hong Kong S.A.R.</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864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The U.S.</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1,263</w:t>
            </w:r>
          </w:p>
        </w:tc>
        <w:tc>
          <w:tcPr>
            <w:tcW w:w="4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2,172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 The PRC, excluding Hong Kong S.A.R.</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785</w:t>
            </w:r>
          </w:p>
        </w:tc>
        <w:tc>
          <w:tcPr>
            <w:tcW w:w="4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5,665</w:t>
            </w:r>
          </w:p>
        </w:tc>
        <w:tc>
          <w:tcPr>
            <w:tcW w:w="4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7"/>
              </w:rPr>
              <w:t>5,750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Others</w:t>
            </w:r>
          </w:p>
        </w:tc>
        <w:tc>
          <w:tcPr>
            <w:tcW w:w="4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current tax provision</w:t>
            </w:r>
          </w:p>
        </w:tc>
        <w:tc>
          <w:tcPr>
            <w:tcW w:w="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3"/>
              </w:rPr>
              <w:t>2,166</w:t>
            </w:r>
          </w:p>
        </w:tc>
        <w:tc>
          <w:tcPr>
            <w:tcW w:w="420" w:type="dxa"/>
            <w:vAlign w:val="bottom"/>
          </w:tcPr>
          <w:p>
            <w:pPr>
              <w:spacing w:after="0"/>
              <w:rPr>
                <w:sz w:val="20"/>
                <w:szCs w:val="20"/>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7,202</w:t>
            </w:r>
          </w:p>
        </w:tc>
        <w:tc>
          <w:tcPr>
            <w:tcW w:w="460" w:type="dxa"/>
            <w:vAlign w:val="bottom"/>
          </w:tcPr>
          <w:p>
            <w:pPr>
              <w:spacing w:after="0"/>
              <w:rPr>
                <w:sz w:val="20"/>
                <w:szCs w:val="20"/>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8,337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 Hong Kong S.A.R.</w:t>
            </w:r>
          </w:p>
        </w:tc>
        <w:tc>
          <w:tcPr>
            <w:tcW w:w="80" w:type="dxa"/>
            <w:vAlign w:val="bottom"/>
          </w:tcPr>
          <w:p>
            <w:pPr>
              <w:spacing w:after="0"/>
              <w:rPr>
                <w:sz w:val="18"/>
                <w:szCs w:val="18"/>
                <w:color w:val="auto"/>
              </w:rPr>
            </w:pPr>
          </w:p>
        </w:tc>
        <w:tc>
          <w:tcPr>
            <w:tcW w:w="8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The U.S.</w:t>
            </w:r>
          </w:p>
        </w:tc>
        <w:tc>
          <w:tcPr>
            <w:tcW w:w="8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638</w:t>
            </w:r>
          </w:p>
        </w:tc>
        <w:tc>
          <w:tcPr>
            <w:tcW w:w="4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 The PRC, excluding Hong Kong S.A.R.</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920" w:type="dxa"/>
            <w:vAlign w:val="bottom"/>
            <w:gridSpan w:val="4"/>
          </w:tcPr>
          <w:p>
            <w:pPr>
              <w:jc w:val="right"/>
              <w:ind w:right="420"/>
              <w:spacing w:after="0"/>
              <w:rPr>
                <w:sz w:val="20"/>
                <w:szCs w:val="20"/>
                <w:color w:val="auto"/>
              </w:rPr>
            </w:pPr>
            <w:r>
              <w:rPr>
                <w:rFonts w:ascii="Arial" w:cs="Arial" w:eastAsia="Arial" w:hAnsi="Arial"/>
                <w:sz w:val="18"/>
                <w:szCs w:val="18"/>
                <w:color w:val="auto"/>
              </w:rPr>
              <w:t>(20)</w:t>
            </w:r>
          </w:p>
        </w:tc>
        <w:tc>
          <w:tcPr>
            <w:tcW w:w="580" w:type="dxa"/>
            <w:vAlign w:val="bottom"/>
            <w:gridSpan w:val="5"/>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expense (benefit)</w:t>
            </w:r>
          </w:p>
        </w:tc>
        <w:tc>
          <w:tcPr>
            <w:tcW w:w="8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(221)</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618</w:t>
            </w:r>
          </w:p>
        </w:tc>
        <w:tc>
          <w:tcPr>
            <w:tcW w:w="4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3"/>
              </w:rPr>
              <w:t>1,945</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3"/>
              </w:rPr>
              <w:t>7,820</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8,468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Group prepared the income tax rate reconciliation using the income tax rate of PRC where the Group’s major operation domiciles.</w:t>
      </w:r>
    </w:p>
    <w:p>
      <w:pPr>
        <w:spacing w:after="0" w:line="237"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The actual income tax expense reported in the consolidated statements of comprehensive income for each of the years ended December 31, 2019, 2020 and 2021 differs from the amount computed by applying the PRC income tax rate of 25% to profit before income taxes due to the following:</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19"/>
        </w:trPr>
        <w:tc>
          <w:tcPr>
            <w:tcW w:w="8900" w:type="dxa"/>
            <w:vAlign w:val="bottom"/>
          </w:tcPr>
          <w:p>
            <w:pPr>
              <w:spacing w:after="0"/>
              <w:rPr>
                <w:sz w:val="10"/>
                <w:szCs w:val="10"/>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Restated</w:t>
            </w: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gridSpan w:val="2"/>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income tax expenses at the PRC tax rate of 25%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1,201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11,319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Effect of:</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for non-PRC entities</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Preferential tax rate</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 expired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Change in unrecognized tax benefits</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Non-taxable offshore profit in Hong Kong S.A.R*</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Special tax adjustment in the PRC**</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Others</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on deferred tax assets</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1,945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80" w:hanging="424"/>
        <w:spacing w:after="0" w:line="277"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the basis that the operations of GigaCloud Technology (HongKong) Limited (“Giga HK”, formerly known as Giga Cloud Logistics (Hong Kong) Limited) that gave rise to the profits derived by Giga HK were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entirely undertaken outside of Hong Kong S.A.R, the corresponding profits are treated as offshore sourced and not subject to Hong Kong S.A.R.</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profits tax.</w:t>
      </w:r>
    </w:p>
    <w:p>
      <w:pPr>
        <w:spacing w:after="0" w:line="238" w:lineRule="exact"/>
        <w:rPr>
          <w:sz w:val="20"/>
          <w:szCs w:val="20"/>
          <w:color w:val="auto"/>
        </w:rPr>
      </w:pPr>
    </w:p>
    <w:p>
      <w:pPr>
        <w:ind w:left="540" w:right="300" w:hanging="424"/>
        <w:spacing w:after="0" w:line="277"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 the profits derived by Giga HK were entirely undertaken in the PRC, OS Suzhou recognized Giga HK offshore sourced profits as taxable income of OS Suzhou.</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Deferred tax assets and deferred tax liabilities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2"/>
                <w:szCs w:val="12"/>
                <w:color w:val="auto"/>
              </w:rPr>
            </w:pPr>
          </w:p>
        </w:tc>
        <w:tc>
          <w:tcPr>
            <w:tcW w:w="5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carryforwards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Inventories under the uniform capitalization (UNICAP) rules</w:t>
            </w: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8"/>
              </w:rPr>
              <w:t>(2,162)</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(1,204)</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 net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w:t>
            </w:r>
          </w:p>
        </w:tc>
        <w:tc>
          <w:tcPr>
            <w:tcW w:w="5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impact of full expensing of qualified property and equipment</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8"/>
              </w:rPr>
              <w:t>(1,001)</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(2,080)</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gross deferred income tax liabilities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(1,001</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(2,080</w:t>
            </w:r>
          </w:p>
        </w:tc>
        <w:tc>
          <w:tcPr>
            <w:tcW w:w="120" w:type="dxa"/>
            <w:vAlign w:val="bottom"/>
          </w:tcPr>
          <w:p>
            <w:pPr>
              <w:jc w:val="right"/>
              <w:ind w:right="41"/>
              <w:spacing w:after="0"/>
              <w:rPr>
                <w:sz w:val="20"/>
                <w:szCs w:val="20"/>
                <w:color w:val="auto"/>
              </w:rPr>
            </w:pPr>
            <w:r>
              <w:rPr>
                <w:rFonts w:ascii="Arial" w:cs="Arial" w:eastAsia="Arial" w:hAnsi="Arial"/>
                <w:sz w:val="8"/>
                <w:szCs w:val="8"/>
                <w:b w:val="1"/>
                <w:bCs w:val="1"/>
                <w:color w:val="auto"/>
                <w:w w:val="73"/>
              </w:rPr>
              <w:t>)</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liabilities</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(83)</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(214)</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deferred taxes noted above are classified as follows in the Group’s consolidated balance sheets: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US$</w:t>
            </w:r>
          </w:p>
        </w:tc>
        <w:tc>
          <w:tcPr>
            <w:tcW w:w="86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(116)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r>
      <w:tr>
        <w:trPr>
          <w:trHeight w:val="27"/>
        </w:trPr>
        <w:tc>
          <w:tcPr>
            <w:tcW w:w="3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liabilities</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(214)</w:t>
            </w:r>
          </w:p>
        </w:tc>
      </w:tr>
      <w:tr>
        <w:trPr>
          <w:trHeight w:val="20"/>
        </w:trPr>
        <w:tc>
          <w:tcPr>
            <w:tcW w:w="3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valuation allowance are as follows:</w:t>
      </w:r>
    </w:p>
    <w:p>
      <w:pPr>
        <w:spacing w:after="0" w:line="244"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Year ended</w:t>
      </w:r>
    </w:p>
    <w:p>
      <w:pPr>
        <w:jc w:val="center"/>
        <w:ind w:left="4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2580" w:type="dxa"/>
        <w:tblCellMar>
          <w:top w:w="0" w:type="dxa"/>
          <w:left w:w="0" w:type="dxa"/>
          <w:bottom w:w="0" w:type="dxa"/>
          <w:right w:w="0" w:type="dxa"/>
        </w:tblCellMar>
      </w:tblPr>
      <w:tr>
        <w:trPr>
          <w:trHeight w:val="142"/>
        </w:trPr>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64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the beginning of the year</w:t>
            </w:r>
          </w:p>
        </w:tc>
        <w:tc>
          <w:tcPr>
            <w:tcW w:w="2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2,216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2,162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Reversal</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Expiration</w:t>
            </w: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r>
      <w:tr>
        <w:trPr>
          <w:trHeight w:val="27"/>
        </w:trPr>
        <w:tc>
          <w:tcPr>
            <w:tcW w:w="2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the end of the year</w:t>
            </w: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2,162</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1,204</w:t>
            </w:r>
          </w:p>
        </w:tc>
      </w:tr>
      <w:tr>
        <w:trPr>
          <w:trHeight w:val="20"/>
        </w:trPr>
        <w:tc>
          <w:tcPr>
            <w:tcW w:w="2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2740" w:type="dxa"/>
            <w:vAlign w:val="bottom"/>
          </w:tcPr>
          <w:p>
            <w:pPr>
              <w:spacing w:after="0"/>
              <w:rPr>
                <w:sz w:val="24"/>
                <w:szCs w:val="24"/>
                <w:color w:val="auto"/>
              </w:rPr>
            </w:pPr>
          </w:p>
        </w:tc>
        <w:tc>
          <w:tcPr>
            <w:tcW w:w="2780" w:type="dxa"/>
            <w:vAlign w:val="bottom"/>
            <w:gridSpan w:val="3"/>
          </w:tcPr>
          <w:p>
            <w:pPr>
              <w:jc w:val="right"/>
              <w:ind w:right="2300"/>
              <w:spacing w:after="0"/>
              <w:rPr>
                <w:sz w:val="20"/>
                <w:szCs w:val="20"/>
                <w:color w:val="auto"/>
              </w:rPr>
            </w:pPr>
            <w:r>
              <w:rPr>
                <w:rFonts w:ascii="Arial" w:cs="Arial" w:eastAsia="Arial" w:hAnsi="Arial"/>
                <w:sz w:val="18"/>
                <w:szCs w:val="18"/>
                <w:color w:val="auto"/>
              </w:rPr>
              <w:t>F-44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Unremitted Earnings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of December 31, 2020 and 2021, the Group has not respectively recorded approximately US$2,260 and US$4,224, of deferred tax liabilities associated with remaining unremitted foreign earnings considered indefinitely reinvested, for which foreign income and withholding taxes would be due upon repatriation.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Operating Losses and Valuation Allowances</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Net operating losses carryforwards of the Company’s subsidiaries and VIEs in jurisdictions other than the PRC do not expire. The net operating losses carryforwards of the Company’s PRC subsidiaries and VIE amounted to US$3,762 and US$356 as of December 31, 2020 and 2021, of which US$50, US$49, US$29, US$50 and US$178 will expire if unused by December 31, 2022, 2023, 2024, 2025 and 2026, respectively.</w:t>
      </w:r>
    </w:p>
    <w:p>
      <w:pPr>
        <w:spacing w:after="0" w:line="14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recoverability of these future tax deductions is evaluated by assessing the adequacy of future expected taxable income from all sources, including taxable income in prior carryback years, reversal of taxable temporary differences, forecasted operating earnings and available tax planning strategies. To the extent the Group does not consider it more-likely-than-not that a deferred tax asset will be recovered, a valuation allowance is generally established. To the extent that a valuation allowance was established and it is subsequently determined that it is more-likely-than-not that the deferred tax assets will be recovered, the change in the valuation allowance is recognized in the consolidated statements of comprehensive income.</w:t>
      </w:r>
    </w:p>
    <w:p>
      <w:pPr>
        <w:spacing w:after="0" w:line="161"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As of December 31, 2020 and 2021, the valuation allowances of US$2,162 and US$1,204 were related to the deferred income tax assets of the certain subsidiaries and VIEs of the Company which were in loss position. These entities were in a cumulative loss position, which is a significant negative indicator to overcome that sufficient income will be generated over the periods in which the deferred income tax assets are deductible or utilized. The ultimate realization of deferred income tax assets is dependent upon the generation of future taxable income during the periods in which those temporary differences become deductible or utilized. Management considers the scheduled reversal of deferred income tax liabilities, projected future taxable income and tax planning strategies in making this assessment.</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The benefits of uncertain tax positions are recorded in the Company’s consolidated financial statements only after determining a more-likely-than-not probability that the uncertain tax positions will sustain, if examined by taxing authorities.</w:t>
      </w:r>
    </w:p>
    <w:p>
      <w:pPr>
        <w:spacing w:after="0" w:line="170"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of December 31, 2020 and 2021, the amounts of unrecognized tax benefits were US$801 and US$1,033, respectively, which would affect the Group’s effective income tax rate.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reconciliation of unrecognized tax benefits from continuing operations is as follows: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w w:val="70"/>
              </w:rPr>
              <w:t>2019</w:t>
            </w: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3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460" w:type="dxa"/>
            <w:vAlign w:val="bottom"/>
          </w:tcPr>
          <w:p>
            <w:pPr>
              <w:spacing w:after="0"/>
              <w:rPr>
                <w:sz w:val="12"/>
                <w:szCs w:val="12"/>
                <w:color w:val="auto"/>
              </w:rPr>
            </w:pPr>
          </w:p>
        </w:tc>
        <w:tc>
          <w:tcPr>
            <w:tcW w:w="3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beginning of year</w:t>
            </w:r>
          </w:p>
        </w:tc>
        <w:tc>
          <w:tcPr>
            <w:tcW w:w="780" w:type="dxa"/>
            <w:vAlign w:val="bottom"/>
            <w:tcBorders>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763</w:t>
            </w: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Increases</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w w:val="79"/>
              </w:rPr>
              <w:t>763</w:t>
            </w:r>
          </w:p>
        </w:tc>
        <w:tc>
          <w:tcPr>
            <w:tcW w:w="46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9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end of year</w:t>
            </w:r>
          </w:p>
        </w:tc>
        <w:tc>
          <w:tcPr>
            <w:tcW w:w="3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79"/>
              </w:rPr>
              <w:t>763</w:t>
            </w:r>
          </w:p>
        </w:tc>
        <w:tc>
          <w:tcPr>
            <w:tcW w:w="4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9"/>
              </w:rPr>
              <w:t>801</w:t>
            </w: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1,033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ind w:left="288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Group classifies interest and penalties related to uncertain tax benefits as interest expense and general and administrative expenses, respectively.</w:t>
      </w:r>
    </w:p>
    <w:p>
      <w:pPr>
        <w:spacing w:after="0" w:line="170"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Group recognizes the benefit of positions taken or expected to be taken in tax returns in the financial statements when it is more-likely-than-not that the position would be sustained upon examination by tax authorities. A recognized tax position is measured at the largest amount of benefit that is greater than 50% likely of being realized upon settlement.</w:t>
      </w:r>
    </w:p>
    <w:p>
      <w:pPr>
        <w:spacing w:after="0" w:line="184" w:lineRule="exact"/>
        <w:rPr>
          <w:sz w:val="20"/>
          <w:szCs w:val="20"/>
          <w:color w:val="auto"/>
        </w:rPr>
      </w:pPr>
    </w:p>
    <w:p>
      <w:pPr>
        <w:ind w:left="120" w:right="300" w:firstLine="881"/>
        <w:spacing w:after="0" w:line="254" w:lineRule="auto"/>
        <w:rPr>
          <w:sz w:val="20"/>
          <w:szCs w:val="20"/>
          <w:color w:val="auto"/>
        </w:rPr>
      </w:pPr>
      <w:r>
        <w:rPr>
          <w:rFonts w:ascii="Arial" w:cs="Arial" w:eastAsia="Arial" w:hAnsi="Arial"/>
          <w:sz w:val="18"/>
          <w:szCs w:val="18"/>
          <w:color w:val="auto"/>
        </w:rPr>
        <w:t>Due to uncertainties under the tax law, positions taken on tax returns may be challenged and ultimately disallowed by taxing authorities. Accordingly, it may not be appropriate to reflect a position taken on the tax return when the outcome of that tax position is uncertain. For the years ended December 31, 2019, 2020 and 2021, the Group recorded the amounts of US$763, US$38 and US$232, respectively, which are related to uncertainty of the Company’s subsidiaries and consolidated VIEs in the PRC and the U.S. mainly with regards to the tax impact of transfer pricing adjustment. The unrecognized tax benefits balances, if recognized upon audit settlement or statute expiration, would affect the effective tax rate. The Group is currently unable to provide an estimate of a range of total amount of unrecognized tax benefits that is reasonably possible to change significantly within the next twelve months.</w:t>
      </w:r>
    </w:p>
    <w:p>
      <w:pPr>
        <w:spacing w:after="0" w:line="19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In the case of transfer pricing issues, the statute of limitation is 10 years. There is no statute of limitation in the case of tax evasion. The income tax returns of the Company’s PRC subsidiary and the VIEs for the years from 2019 to 2021 are open to examination by the PRC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The following table sets forth the basic and diluted net income per ordinary share computation and provides a reconciliation of the numerator and denominator for the years presented: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0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83"/>
              </w:rPr>
              <w:t>2021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2,857</w:t>
            </w:r>
          </w:p>
        </w:tc>
        <w:tc>
          <w:tcPr>
            <w:tcW w:w="3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37,455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preferred shareholders</w:t>
            </w:r>
          </w:p>
        </w:tc>
        <w:tc>
          <w:tcPr>
            <w:tcW w:w="120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(1,849)</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(24,344)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Accretion of Series E Preferred Shares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4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ordinary share calculation</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9,495,844</w:t>
            </w:r>
          </w:p>
        </w:tc>
        <w:tc>
          <w:tcPr>
            <w:tcW w:w="30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9,495,844</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10,248,079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w w:val="99"/>
              </w:rPr>
              <w:t>Net income per ordinary share attributable to ordinary shareholders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basic and diluted</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For the years ended December 31, 2019, 2020 and 2021, all outstanding share-based awards are not included in the calculation of basic or diluted earnings per share, as the issuance of such awards is contingent upon a qualified IPO within expiration period, which was not satisfied by the end of 2019, 2020 or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years ended December 31, 2019, 2020 and 2021, the Preferred Shares were excluded from the calculation of diluted earnings per ordinary share as their inclusion would have been anti-dilutive.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REVENUES</w:t>
      </w:r>
    </w:p>
    <w:p>
      <w:pPr>
        <w:spacing w:after="0" w:line="229"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Group’s revenues are disaggregated by major products/service lines and timing of revenue recognition. Detailed information is specified as follows: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Major products/services lines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center"/>
              <w:ind w:left="153"/>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GigaCloud 3P</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15,151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60,130</w:t>
            </w:r>
          </w:p>
        </w:tc>
        <w:tc>
          <w:tcPr>
            <w:tcW w:w="16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98,332</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15,151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60,130</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98,332</w:t>
            </w:r>
          </w:p>
        </w:tc>
        <w:tc>
          <w:tcPr>
            <w:tcW w:w="0" w:type="dxa"/>
            <w:vAlign w:val="bottom"/>
          </w:tcPr>
          <w:p>
            <w:pPr>
              <w:spacing w:after="0"/>
              <w:rPr>
                <w:sz w:val="1"/>
                <w:szCs w:val="1"/>
                <w:color w:val="auto"/>
              </w:rPr>
            </w:pP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Product revenues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Product sales to B</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22,994</w:t>
            </w: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39,858</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50,699</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Product sales to C</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i w:val="1"/>
                <w:iCs w:val="1"/>
                <w:color w:val="auto"/>
              </w:rPr>
              <w:t>42,010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i w:val="1"/>
                <w:iCs w:val="1"/>
                <w:color w:val="auto"/>
              </w:rPr>
              <w:t>53,388</w:t>
            </w:r>
          </w:p>
        </w:tc>
        <w:tc>
          <w:tcPr>
            <w:tcW w:w="16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i w:val="1"/>
                <w:iCs w:val="1"/>
                <w:color w:val="auto"/>
              </w:rPr>
              <w:t>76,900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Off-platform ecommerce</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93,246</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127,599</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GigaCloud 1P</w:t>
            </w: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42,141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122,102</w:t>
            </w:r>
          </w:p>
        </w:tc>
        <w:tc>
          <w:tcPr>
            <w:tcW w:w="16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188,266</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product revenues</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107,145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215,348</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315,865</w:t>
            </w:r>
          </w:p>
        </w:tc>
        <w:tc>
          <w:tcPr>
            <w:tcW w:w="0" w:type="dxa"/>
            <w:vAlign w:val="bottom"/>
          </w:tcPr>
          <w:p>
            <w:pPr>
              <w:spacing w:after="0"/>
              <w:rPr>
                <w:sz w:val="1"/>
                <w:szCs w:val="1"/>
                <w:color w:val="auto"/>
              </w:rPr>
            </w:pPr>
          </w:p>
        </w:tc>
      </w:tr>
      <w:tr>
        <w:trPr>
          <w:trHeight w:val="22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122,296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275,478</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414,197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center"/>
              <w:ind w:left="153"/>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54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7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Revenue from goods or services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transferred to customers over time</w:t>
            </w: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12,131</w:t>
            </w:r>
          </w:p>
        </w:tc>
        <w:tc>
          <w:tcPr>
            <w:tcW w:w="28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48,148</w:t>
            </w:r>
          </w:p>
        </w:tc>
        <w:tc>
          <w:tcPr>
            <w:tcW w:w="16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89,986</w:t>
            </w:r>
          </w:p>
        </w:tc>
        <w:tc>
          <w:tcPr>
            <w:tcW w:w="0" w:type="dxa"/>
            <w:vAlign w:val="bottom"/>
          </w:tcPr>
          <w:p>
            <w:pPr>
              <w:spacing w:after="0"/>
              <w:rPr>
                <w:sz w:val="1"/>
                <w:szCs w:val="1"/>
                <w:color w:val="auto"/>
              </w:rPr>
            </w:pPr>
          </w:p>
        </w:tc>
      </w:tr>
      <w:tr>
        <w:trPr>
          <w:trHeight w:val="202"/>
        </w:trPr>
        <w:tc>
          <w:tcPr>
            <w:tcW w:w="2760" w:type="dxa"/>
            <w:vAlign w:val="bottom"/>
            <w:gridSpan w:val="3"/>
          </w:tcPr>
          <w:p>
            <w:pPr>
              <w:spacing w:after="0" w:line="201" w:lineRule="exact"/>
              <w:rPr>
                <w:sz w:val="20"/>
                <w:szCs w:val="20"/>
                <w:color w:val="auto"/>
              </w:rPr>
            </w:pPr>
            <w:r>
              <w:rPr>
                <w:rFonts w:ascii="Arial" w:cs="Arial" w:eastAsia="Arial" w:hAnsi="Arial"/>
                <w:sz w:val="18"/>
                <w:szCs w:val="18"/>
                <w:color w:val="auto"/>
              </w:rPr>
              <w:t>Revenue from goods or services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180"/>
              <w:spacing w:after="0"/>
              <w:rPr>
                <w:sz w:val="20"/>
                <w:szCs w:val="20"/>
                <w:color w:val="auto"/>
              </w:rPr>
            </w:pPr>
            <w:r>
              <w:rPr>
                <w:rFonts w:ascii="Arial" w:cs="Arial" w:eastAsia="Arial" w:hAnsi="Arial"/>
                <w:sz w:val="18"/>
                <w:szCs w:val="18"/>
                <w:color w:val="auto"/>
                <w:w w:val="93"/>
              </w:rPr>
              <w:t>transferred to customers at a point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3"/>
          </w:tcPr>
          <w:p>
            <w:pPr>
              <w:ind w:left="180"/>
              <w:spacing w:after="0"/>
              <w:rPr>
                <w:sz w:val="20"/>
                <w:szCs w:val="20"/>
                <w:color w:val="auto"/>
              </w:rPr>
            </w:pPr>
            <w:r>
              <w:rPr>
                <w:rFonts w:ascii="Arial" w:cs="Arial" w:eastAsia="Arial" w:hAnsi="Arial"/>
                <w:sz w:val="18"/>
                <w:szCs w:val="18"/>
                <w:color w:val="auto"/>
              </w:rPr>
              <w:t>in time</w:t>
            </w:r>
          </w:p>
        </w:tc>
        <w:tc>
          <w:tcPr>
            <w:tcW w:w="28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110,165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8"/>
                <w:szCs w:val="18"/>
                <w:color w:val="auto"/>
              </w:rPr>
              <w:t>227,330</w:t>
            </w:r>
          </w:p>
        </w:tc>
        <w:tc>
          <w:tcPr>
            <w:tcW w:w="16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324,211</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122,296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275,478</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414,197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6"/>
          </w:tcPr>
          <w:p>
            <w:pPr>
              <w:ind w:left="120"/>
              <w:spacing w:after="0"/>
              <w:rPr>
                <w:sz w:val="20"/>
                <w:szCs w:val="20"/>
                <w:color w:val="auto"/>
              </w:rPr>
            </w:pPr>
            <w:r>
              <w:rPr>
                <w:rFonts w:ascii="Arial" w:cs="Arial" w:eastAsia="Arial" w:hAnsi="Arial"/>
                <w:sz w:val="18"/>
                <w:szCs w:val="18"/>
                <w:color w:val="auto"/>
              </w:rPr>
              <w:t>F-47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59" w:right="75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As of December 31, 2020 and 2021, the amounts of contract liabilities are US$3,424 and US$3,690, respectively. Changes in the contract liabilities balances for the years ended December 31, 2019, 2020 and 2021 are as follows:</w:t>
      </w:r>
    </w:p>
    <w:p>
      <w:pPr>
        <w:spacing w:after="0" w:line="176"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Year ended December 31,</w:t>
            </w:r>
          </w:p>
        </w:tc>
        <w:tc>
          <w:tcPr>
            <w:tcW w:w="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62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beginning of the</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0"/>
                <w:szCs w:val="20"/>
                <w:color w:val="auto"/>
              </w:rPr>
            </w:pPr>
          </w:p>
        </w:tc>
        <w:tc>
          <w:tcPr>
            <w:tcW w:w="16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362</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 recognized from opening</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balance of contract liabilities</w:t>
            </w:r>
          </w:p>
        </w:tc>
        <w:tc>
          <w:tcPr>
            <w:tcW w:w="780" w:type="dxa"/>
            <w:vAlign w:val="bottom"/>
            <w:gridSpan w:val="5"/>
          </w:tcPr>
          <w:p>
            <w:pPr>
              <w:jc w:val="right"/>
              <w:ind w:right="40"/>
              <w:spacing w:after="0"/>
              <w:rPr>
                <w:sz w:val="20"/>
                <w:szCs w:val="20"/>
                <w:color w:val="auto"/>
              </w:rPr>
            </w:pPr>
            <w:r>
              <w:rPr>
                <w:rFonts w:ascii="Arial" w:cs="Arial" w:eastAsia="Arial" w:hAnsi="Arial"/>
                <w:sz w:val="18"/>
                <w:szCs w:val="18"/>
                <w:color w:val="auto"/>
              </w:rPr>
              <w:t>(472)</w:t>
            </w:r>
          </w:p>
        </w:tc>
        <w:tc>
          <w:tcPr>
            <w:tcW w:w="1620" w:type="dxa"/>
            <w:vAlign w:val="bottom"/>
            <w:gridSpan w:val="5"/>
          </w:tcPr>
          <w:p>
            <w:pPr>
              <w:jc w:val="right"/>
              <w:ind w:right="420"/>
              <w:spacing w:after="0"/>
              <w:rPr>
                <w:sz w:val="20"/>
                <w:szCs w:val="20"/>
                <w:color w:val="auto"/>
              </w:rPr>
            </w:pPr>
            <w:r>
              <w:rPr>
                <w:rFonts w:ascii="Arial" w:cs="Arial" w:eastAsia="Arial" w:hAnsi="Arial"/>
                <w:sz w:val="18"/>
                <w:szCs w:val="18"/>
                <w:color w:val="auto"/>
              </w:rPr>
              <w:t>(362)</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cash received</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34,166</w:t>
            </w:r>
          </w:p>
        </w:tc>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158,696</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199,271</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Revenue recognized from cash</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received during the year</w:t>
            </w:r>
          </w:p>
        </w:tc>
        <w:tc>
          <w:tcPr>
            <w:tcW w:w="780" w:type="dxa"/>
            <w:vAlign w:val="bottom"/>
            <w:gridSpan w:val="5"/>
          </w:tcPr>
          <w:p>
            <w:pPr>
              <w:jc w:val="right"/>
              <w:ind w:right="40"/>
              <w:spacing w:after="0"/>
              <w:rPr>
                <w:sz w:val="20"/>
                <w:szCs w:val="20"/>
                <w:color w:val="auto"/>
              </w:rPr>
            </w:pPr>
            <w:r>
              <w:rPr>
                <w:rFonts w:ascii="Arial" w:cs="Arial" w:eastAsia="Arial" w:hAnsi="Arial"/>
                <w:sz w:val="18"/>
                <w:szCs w:val="18"/>
                <w:color w:val="auto"/>
              </w:rPr>
              <w:t>(33,807)</w:t>
            </w:r>
          </w:p>
        </w:tc>
        <w:tc>
          <w:tcPr>
            <w:tcW w:w="1620" w:type="dxa"/>
            <w:vAlign w:val="bottom"/>
            <w:gridSpan w:val="5"/>
          </w:tcPr>
          <w:p>
            <w:pPr>
              <w:jc w:val="right"/>
              <w:ind w:right="420"/>
              <w:spacing w:after="0"/>
              <w:rPr>
                <w:sz w:val="20"/>
                <w:szCs w:val="20"/>
                <w:color w:val="auto"/>
              </w:rPr>
            </w:pPr>
            <w:r>
              <w:rPr>
                <w:rFonts w:ascii="Arial" w:cs="Arial" w:eastAsia="Arial" w:hAnsi="Arial"/>
                <w:sz w:val="18"/>
                <w:szCs w:val="18"/>
                <w:color w:val="auto"/>
              </w:rPr>
              <w:t>(155,283)</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(195,580)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b w:val="1"/>
                <w:bCs w:val="1"/>
                <w:color w:val="auto"/>
              </w:rPr>
              <w:t>Balance as of end of the year</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3,424</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Contract liabilities relate to considerations received in advance for merchandise sales and services provided on GigaCloud Marketplace for which control of the services occur at a later point in time. The contract liabilities will be recognized as revenue when the Group fulfils its performance obligations to transfer the promised products or services to customers, which is expected to occur within one year.</w:t>
      </w:r>
    </w:p>
    <w:p>
      <w:pPr>
        <w:spacing w:after="0" w:line="165"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 Group has elected the practical expedient in ASC 606-10-50-14(a) not to disclose the information about remaining performance obligations which are part of contracts that have an original expected duration of one year or less.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The Group leases offices and warehouse under non-cancelable operating lease agreements. Future minimum lease payments under these noncancelable lease agreements with initial terms longer than twelve months are disclosed as maturity of lease liabilities in Note 10. In addition, the Group’s long-term obligations include long-term borrowings, of which the expected repayment schedule has been disclosed in Note 7.</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for those, the Group did not have any other commitments or long-term obligations as of December 31,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00"/>
          </w:cols>
          <w:pgMar w:left="320" w:top="459" w:right="57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During the years ended December 31, 2019, 2020 and 2021, the related parties of the Group are as follows:</w:t>
      </w:r>
    </w:p>
    <w:p>
      <w:pPr>
        <w:spacing w:after="0" w:line="248" w:lineRule="exact"/>
        <w:rPr>
          <w:sz w:val="20"/>
          <w:szCs w:val="20"/>
          <w:color w:val="auto"/>
        </w:rPr>
      </w:pPr>
    </w:p>
    <w:tbl>
      <w:tblPr>
        <w:tblLayout w:type="fixed"/>
        <w:tblInd w:w="2580" w:type="dxa"/>
        <w:tblCellMar>
          <w:top w:w="0" w:type="dxa"/>
          <w:left w:w="0" w:type="dxa"/>
          <w:bottom w:w="0" w:type="dxa"/>
          <w:right w:w="0" w:type="dxa"/>
        </w:tblCellMar>
      </w:tblPr>
      <w:tr>
        <w:trPr>
          <w:trHeight w:val="167"/>
        </w:trPr>
        <w:tc>
          <w:tcPr>
            <w:tcW w:w="820" w:type="dxa"/>
            <w:vAlign w:val="bottom"/>
          </w:tcPr>
          <w:p>
            <w:pPr>
              <w:spacing w:after="0"/>
              <w:rPr>
                <w:sz w:val="20"/>
                <w:szCs w:val="20"/>
                <w:color w:val="auto"/>
              </w:rPr>
            </w:pPr>
            <w:r>
              <w:rPr>
                <w:rFonts w:ascii="Arial" w:cs="Arial" w:eastAsia="Arial" w:hAnsi="Arial"/>
                <w:sz w:val="14"/>
                <w:szCs w:val="14"/>
                <w:i w:val="1"/>
                <w:iCs w:val="1"/>
                <w:color w:val="auto"/>
                <w:w w:val="90"/>
              </w:rPr>
              <w:t>Name of party</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i w:val="1"/>
                <w:iCs w:val="1"/>
                <w:color w:val="auto"/>
              </w:rPr>
              <w:t>Relationship</w:t>
            </w:r>
          </w:p>
        </w:tc>
      </w:tr>
      <w:tr>
        <w:trPr>
          <w:trHeight w:val="20"/>
        </w:trPr>
        <w:tc>
          <w:tcPr>
            <w:tcW w:w="8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3"/>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Larry Lei Wu</w:t>
            </w:r>
          </w:p>
        </w:tc>
        <w:tc>
          <w:tcPr>
            <w:tcW w:w="3320" w:type="dxa"/>
            <w:vAlign w:val="bottom"/>
            <w:gridSpan w:val="3"/>
          </w:tcPr>
          <w:p>
            <w:pPr>
              <w:ind w:left="1740"/>
              <w:spacing w:after="0"/>
              <w:rPr>
                <w:sz w:val="20"/>
                <w:szCs w:val="20"/>
                <w:color w:val="auto"/>
              </w:rPr>
            </w:pPr>
            <w:r>
              <w:rPr>
                <w:rFonts w:ascii="Arial" w:cs="Arial" w:eastAsia="Arial" w:hAnsi="Arial"/>
                <w:sz w:val="18"/>
                <w:szCs w:val="18"/>
                <w:i w:val="1"/>
                <w:iCs w:val="1"/>
                <w:color w:val="auto"/>
                <w:w w:val="90"/>
              </w:rPr>
              <w:t>Founder, director and</w:t>
            </w:r>
          </w:p>
        </w:tc>
      </w:tr>
      <w:tr>
        <w:trPr>
          <w:trHeight w:val="230"/>
        </w:trPr>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320" w:type="dxa"/>
            <w:vAlign w:val="bottom"/>
            <w:gridSpan w:val="3"/>
          </w:tcPr>
          <w:p>
            <w:pPr>
              <w:ind w:left="1740"/>
              <w:spacing w:after="0"/>
              <w:rPr>
                <w:sz w:val="20"/>
                <w:szCs w:val="20"/>
                <w:color w:val="auto"/>
              </w:rPr>
            </w:pPr>
            <w:r>
              <w:rPr>
                <w:rFonts w:ascii="Arial" w:cs="Arial" w:eastAsia="Arial" w:hAnsi="Arial"/>
                <w:sz w:val="18"/>
                <w:szCs w:val="18"/>
                <w:i w:val="1"/>
                <w:iCs w:val="1"/>
                <w:color w:val="auto"/>
                <w:w w:val="90"/>
              </w:rPr>
              <w:t>chief executive officer</w:t>
            </w:r>
          </w:p>
        </w:tc>
      </w:tr>
    </w:tbl>
    <w:p>
      <w:pPr>
        <w:spacing w:after="0" w:line="202"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In addition to those disclosed in the Note 13, during the years ended December 31, 2019, 2020 and 2021, the Group entered into the following related party transactions with Larry Lei Wu.</w:t>
      </w:r>
    </w:p>
    <w:p>
      <w:pPr>
        <w:spacing w:after="0" w:line="189" w:lineRule="exact"/>
        <w:rPr>
          <w:sz w:val="20"/>
          <w:szCs w:val="20"/>
          <w:color w:val="auto"/>
        </w:rPr>
      </w:pPr>
    </w:p>
    <w:p>
      <w:pPr>
        <w:ind w:left="672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17" w:lineRule="exact"/>
        <w:rPr>
          <w:sz w:val="20"/>
          <w:szCs w:val="20"/>
          <w:color w:val="auto"/>
        </w:rPr>
      </w:pPr>
    </w:p>
    <w:p>
      <w:pPr>
        <w:ind w:left="6620"/>
        <w:spacing w:after="0"/>
        <w:tabs>
          <w:tab w:leader="none" w:pos="8080" w:val="left"/>
        </w:tabs>
        <w:rPr>
          <w:sz w:val="20"/>
          <w:szCs w:val="20"/>
          <w:color w:val="auto"/>
        </w:rPr>
      </w:pPr>
      <w:r>
        <w:rPr>
          <w:rFonts w:ascii="Arial" w:cs="Arial" w:eastAsia="Arial" w:hAnsi="Arial"/>
          <w:sz w:val="14"/>
          <w:szCs w:val="14"/>
          <w:b w:val="1"/>
          <w:bCs w:val="1"/>
          <w:u w:val="single" w:color="auto"/>
          <w:color w:val="auto"/>
        </w:rPr>
        <w:t>2019</w:t>
      </w:r>
      <w:r>
        <w:rPr>
          <w:sz w:val="20"/>
          <w:szCs w:val="20"/>
          <w:color w:val="auto"/>
        </w:rPr>
        <w:tab/>
      </w:r>
      <w:r>
        <w:rPr>
          <w:rFonts w:ascii="Arial" w:cs="Arial" w:eastAsia="Arial" w:hAnsi="Arial"/>
          <w:sz w:val="14"/>
          <w:szCs w:val="14"/>
          <w:b w:val="1"/>
          <w:bCs w:val="1"/>
          <w:u w:val="single" w:color="auto"/>
          <w:color w:val="auto"/>
        </w:rPr>
        <w:t>2020</w:t>
      </w:r>
    </w:p>
    <w:p>
      <w:pPr>
        <w:ind w:left="6640"/>
        <w:spacing w:after="0"/>
        <w:tabs>
          <w:tab w:leader="none" w:pos="810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3"/>
          <w:szCs w:val="13"/>
          <w:b w:val="1"/>
          <w:bCs w:val="1"/>
          <w:color w:val="auto"/>
        </w:rPr>
        <w:t>US$</w:t>
      </w:r>
    </w:p>
    <w:p>
      <w:pPr>
        <w:spacing w:after="0" w:line="10"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Proceeds of borrowings from Larry Lei Wu</w:t>
            </w: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89</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 to Larry Lei Wu</w:t>
            </w:r>
          </w:p>
        </w:tc>
        <w:tc>
          <w:tcPr>
            <w:tcW w:w="14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202" w:lineRule="exact"/>
        <w:rPr>
          <w:sz w:val="20"/>
          <w:szCs w:val="20"/>
          <w:color w:val="auto"/>
        </w:rPr>
      </w:pPr>
    </w:p>
    <w:p>
      <w:pPr>
        <w:jc w:val="both"/>
        <w:ind w:left="120" w:right="400" w:firstLine="881"/>
        <w:spacing w:after="0" w:line="263" w:lineRule="auto"/>
        <w:rPr>
          <w:sz w:val="20"/>
          <w:szCs w:val="20"/>
          <w:color w:val="auto"/>
        </w:rPr>
      </w:pPr>
      <w:r>
        <w:rPr>
          <w:rFonts w:ascii="Arial" w:cs="Arial" w:eastAsia="Arial" w:hAnsi="Arial"/>
          <w:sz w:val="18"/>
          <w:szCs w:val="18"/>
          <w:color w:val="auto"/>
        </w:rPr>
        <w:t>On December 27, 2019, the Group borrowed a loan of RMB619 (equivalent to US$89) from Larry Lei Wu, for the purpose of working capital and business benefits. On January 21, 2020, the loan was fully repaid to Larry Lei Wu. There were no outstanding balances arising from the above transactions as of December 31, 2020 and 2021.</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RESTRICTED NET ASSETS</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Group’s ability to pay dividends is primarily dependent on the Group receiving distributions of funds from its subsidiaries. Relevant PRC statutory laws and regulations permit payments of dividends by the Group’s subsidiaries and consolidated VIEs incorporated in the PRC only out of their retained earnings, if any, as determined in accordance with the PRC accounting standards and regulations. The results of operations reflected in the financial statements prepared in accordance with U.S. GAAP differ from those reflected in the statutory financial statements of the Group’s subsidiaries.</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w:t>
      </w:r>
    </w:p>
    <w:p>
      <w:pPr>
        <w:spacing w:after="0" w:line="19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Additionally, in accordance with the Company Law of the PRC, a domestic enterprise is required to provide statutory surplus fund at least 10% of its annual after-tax profits until such statutory surplus fund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65"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As a result of these PRC laws and regulations that require annual appropriations of 10% of net after-tax profits to be set aside prior to payment of dividends as general reserve fund or statutory surplus fund, the Company’s PRC subsidiaries and consolidated VIE are restricted in their ability to transfer a portion of their net assets to the Company.</w:t>
      </w:r>
    </w:p>
    <w:p>
      <w:pPr>
        <w:spacing w:after="0" w:line="18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Amounts restricted include paid-in capital and statutory reserve funds, as determined pursuant to the PRC GAAP. Further, as required by the Rule 5-04(c), any restrictions placed on the net assets of the consolidated entities with positive equity exceeding the 25% threshold would be required to provide parent company financial information. As the total net assets of the Company’s PRC subsidiaries and consolidated VIE did not exceed 25% of the consolidated net assets, the condensed parent company financial statements as of and for the years ended December 31, 2020 and 2021 are not prepared.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Management has considered subsequent events through March 15, 2022, which was the date the consolidated financial statements were issued, except for the 1-for-500 share consolidation discussed in Note 2(b) which was effective as of July 5, 2022.</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Pursuant to the 2017 Share Incentive Plan, on February 15, 2022, the board of directors resolved to grant 385,434 share options and 210,898 restricted shares to its employees and non-employee service providers.</w:t>
      </w:r>
    </w:p>
    <w:p>
      <w:pPr>
        <w:spacing w:after="0" w:line="170"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The share options immediately vest on the grant date with no further condition required, and shall be exercisable upon a qualified IPO before expiration date of ten years after the grant date of such share options.</w:t>
      </w:r>
    </w:p>
    <w:p>
      <w:pPr>
        <w:spacing w:after="0" w:line="170"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grantees of the restricted shares shall pay in full of the consideration within 45 days at the exercise price of US$7.48 per share after the grant date of such restricted shares; otherwise, the Company shall be entitled to cancel the grant. The grantees are subject to the service condition of three years’ continuous service since their service commencement in the Group; upon the grantee’s early service termination, the Company shall have the right (but not the obligation) to repurchase all or any portion of the shares in cash, at the amount of the original purchase price actually paid by the grantee for such restricted shares.</w:t>
      </w:r>
    </w:p>
    <w:p>
      <w:pPr>
        <w:spacing w:after="0" w:line="184" w:lineRule="exact"/>
        <w:rPr>
          <w:sz w:val="20"/>
          <w:szCs w:val="20"/>
          <w:color w:val="auto"/>
        </w:rPr>
      </w:pPr>
    </w:p>
    <w:p>
      <w:pPr>
        <w:ind w:left="120" w:right="1240" w:hanging="4"/>
        <w:spacing w:after="0" w:line="282" w:lineRule="auto"/>
        <w:tabs>
          <w:tab w:leader="none" w:pos="39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EVENT (UNAUDITED) SUBSEQUENT TO THE DATE OF THE REPORT OF INDEPENDENT REGISTERED PUBLIC ACCOUNTING FIRM</w:t>
      </w:r>
    </w:p>
    <w:p>
      <w:pPr>
        <w:spacing w:after="0" w:line="193"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Dual-class voting structure</w:t>
      </w:r>
    </w:p>
    <w:p>
      <w:pPr>
        <w:spacing w:after="0" w:line="11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July 5, 2022, the Company’s board of directors resolved to adopt a dual-class voting structure that will become effective immediately prior to the completion of this offering. Holders of Class A ordinary shares and holders of Class B ordinary shares will have the same rights, except for voting and conversion rights. In respect of matters requiring a shareholder’s vote, each Class A ordinary share will be entitled to one vote and each Class B ordinary share will be entitled to ten votes. Upon completion of the IPO, the Class B Ordinary Shares will be held only by Mr. Larry Lei Wu and his vehicles, namely Ji Xiang Hu Tong Holdings Limited and Talent Boom Group Limited. All other shareholders will hold only Class A Ordinary Shares.</w:t>
      </w:r>
    </w:p>
    <w:p>
      <w:pPr>
        <w:spacing w:after="0" w:line="161"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Each Class B ordinary share will be convertible into one Class A ordinary share at any time, by the holder thereof. However, Class A ordinary shares will not be convertible into Class B ordinary shares at any time, under any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Issuance of a warrant</w:t>
      </w:r>
    </w:p>
    <w:p>
      <w:pPr>
        <w:spacing w:after="0" w:line="117"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On July 1, 2022, the Company entered into an agreement with Aegis Capital Corp. (the “Underwriter”), pursuant to which, the Company agrees to issue a warrant to the Underwriter upon the completion of this offering, which entitles the Underwriter to purchase up to a total of 1.0% of the Company’s Class A ordinary shares sold in the offering, in the par value of US$0.05 per share, at the exercise price of 150% of the public offering price per share.</w:t>
      </w:r>
    </w:p>
    <w:p>
      <w:pPr>
        <w:spacing w:after="0" w:line="187"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warrants are exercisable in the period, which commences on a date which is six (6) months from the effective date of the offering under this prospectus and expires on a date which is no more than two (2) years from the commencement of sales of the offering. The warrants are subject to a 6-month lock-up and shall not sell, transfer, assign, pledge, or hypothecate these warrants or the ordinary shares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as to all, or a lesser number of ordinary shares and will provide for cashless exercise in the event there is not an effective registration statement for the underlying shares.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ordinary shares at a price below the warrant exercise price.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1(d)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63,198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48,862</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21,112</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Inventories</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81,441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110,744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172,419</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187,309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143,148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14,358</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159,902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186,777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347,211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BALANCE SHEETS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tbl>
      <w:tblPr>
        <w:tblLayout w:type="fixed"/>
        <w:tblInd w:w="120" w:type="dxa"/>
        <w:tblCellMar>
          <w:top w:w="0" w:type="dxa"/>
          <w:left w:w="0" w:type="dxa"/>
          <w:bottom w:w="0" w:type="dxa"/>
          <w:right w:w="0" w:type="dxa"/>
        </w:tblCellMar>
      </w:tblPr>
      <w:tr>
        <w:trPr>
          <w:trHeight w:val="158"/>
        </w:trPr>
        <w:tc>
          <w:tcPr>
            <w:tcW w:w="8420" w:type="dxa"/>
            <w:vAlign w:val="bottom"/>
          </w:tcPr>
          <w:p>
            <w:pPr>
              <w:spacing w:after="0"/>
              <w:rPr>
                <w:sz w:val="13"/>
                <w:szCs w:val="13"/>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0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72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borrowings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9"/>
              </w:rPr>
              <w:t>Accounts payable (including accounts payable of VIEs without recourse to the Company of US$1,433 and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US$5,097 as of December 31, 2021 and March 31, 2022, respectively)</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8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25,140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Contract liabilities (including contract liabilities of VIEs without recourse to the Company of US$394 and</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US$274 as of December 31, 2021 and March 31, 2022, respectively)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8"/>
              </w:rPr>
              <w:t>Current operating lease liabilities (including current operating lease liabilities of VIEs without recourse to the</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Company of nil and US$1,972 as of December 31, 2021 and March 31, 2022, respectively)</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20"/>
                <w:szCs w:val="20"/>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29,794</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tax payable (including income tax payable of VIEs without recourse to the Company of US$78 and</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US$90 as of December 31, 2021 and March 31, 2022, respectively)</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6"/>
              </w:rPr>
              <w:t>Accrued expenses and other current liabilities (including accrued expenses and other current liabilities of VIEs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w w:val="98"/>
              </w:rPr>
              <w:t>without recourse to the Company of US$341 and US$364 as of December 31, 2021 and March 31, 2022,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w:t>
            </w:r>
          </w:p>
        </w:tc>
        <w:tc>
          <w:tcPr>
            <w:tcW w:w="3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57,044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100,722</w:t>
            </w:r>
          </w:p>
        </w:tc>
        <w:tc>
          <w:tcPr>
            <w:tcW w:w="0" w:type="dxa"/>
            <w:vAlign w:val="bottom"/>
          </w:tcPr>
          <w:p>
            <w:pPr>
              <w:spacing w:after="0"/>
              <w:rPr>
                <w:sz w:val="1"/>
                <w:szCs w:val="1"/>
                <w:color w:val="auto"/>
              </w:rPr>
            </w:pPr>
          </w:p>
        </w:tc>
      </w:tr>
      <w:tr>
        <w:trPr>
          <w:trHeight w:val="331"/>
        </w:trPr>
        <w:tc>
          <w:tcPr>
            <w:tcW w:w="84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rPr>
              <w:t>Operating lease liabilities, non-current (including operating lease liabilities, non-current of VIEs without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w w:val="96"/>
              </w:rPr>
              <w:t>recourse to the Company of nil and US$5,038 as of December 31, 2021 and March 31, 2022, respectively)</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20"/>
                <w:szCs w:val="20"/>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111,619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Finance lease obligations, non-current</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payable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3,901</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115,788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60,945</w:t>
            </w: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216,510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BALANCE SHEETS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40" w:type="dxa"/>
            <w:vAlign w:val="bottom"/>
            <w:gridSpan w:val="2"/>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3"/>
              </w:rPr>
              <w:t>Series E Preferred Shares (US$0.05 par value per share, 3,999,709 shares authorized, issued and outstanding;</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Redemption value of US$26,652 and US$27,022 as of December 31, 2021 and March 31, 2022,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w w:val="96"/>
              </w:rPr>
              <w:t>respectively; Liquidation value of US$25,000 as of December 31, 2021 and March 31, 2022, respectively)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26,652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27,022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26,652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27,022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Ordinary shares (US$0.05 par value per share, 38,572,025 shares authorized; 11,082,930 and 15,875,571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December 31, 2021 and March 31, 2022, respectively)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Treasury shares, at cost (nil and 4,765,903 shares held as of December 31, 2021 and March 31, 2022,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0"/>
                <w:szCs w:val="20"/>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 from ordinary shares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4"/>
              </w:rPr>
              <w:t>Series A Preferred Shares (US$0.05 par value per share, 134,190 shares authorized, issued and outstanding;</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Liquidation value of US$6,710 as of December 31, 2021 and March 31, 2022)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B Preferred Shares (US$0.05 par value per share, 9,991,588 shares authorized, issued and outstanding;</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value of US$5,000 as of December 31, 2021 and March 31, 2022)</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w w:val="93"/>
              </w:rPr>
              <w:t>Series C Preferred Shares (US$0.05 par value per share, 4,358,702 shares authorized, issued and outstanding)</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218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 Preferred Shares (US$0.05 par value per share, 2,943,786 shares authorized, issued and outstanding;</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value of US$8,053 as of December 31, 2021 and March 31, 2022)</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37,439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37,638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60,559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64,928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99,180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103,679</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186,777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347,211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8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Note</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2021</w:t>
            </w:r>
          </w:p>
        </w:tc>
        <w:tc>
          <w:tcPr>
            <w:tcW w:w="6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Restated</w:t>
            </w: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60" w:type="dxa"/>
            <w:vAlign w:val="bottom"/>
          </w:tcPr>
          <w:p>
            <w:pPr>
              <w:spacing w:after="0"/>
              <w:rPr>
                <w:sz w:val="12"/>
                <w:szCs w:val="12"/>
                <w:color w:val="auto"/>
              </w:rPr>
            </w:pPr>
          </w:p>
        </w:tc>
        <w:tc>
          <w:tcPr>
            <w:tcW w:w="9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Service revenues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20,418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74,110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81,224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94,528</w:t>
            </w: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7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(14,146)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(29,201)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(59,494)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(66,371)</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(73,640)</w:t>
            </w:r>
          </w:p>
        </w:tc>
        <w:tc>
          <w:tcPr>
            <w:tcW w:w="6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7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20,888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16,870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(7,359)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(2,941)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(10,300)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(9,389)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60" w:type="dxa"/>
            <w:vAlign w:val="bottom"/>
          </w:tcPr>
          <w:p>
            <w:pPr>
              <w:ind w:left="36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10,588</w:t>
            </w:r>
          </w:p>
        </w:tc>
        <w:tc>
          <w:tcPr>
            <w:tcW w:w="6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7,481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losses, net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Others, net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15"/>
        </w:trPr>
        <w:tc>
          <w:tcPr>
            <w:tcW w:w="7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9,933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6,346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5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(1,950)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7,983</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4,739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Accretion of Redeemable Convertible Preferred Shares</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11</w:t>
            </w: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ordinary shareholders</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7,613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4,369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COMPREHENSIVE INCOME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tbl>
      <w:tblPr>
        <w:tblLayout w:type="fixed"/>
        <w:tblInd w:w="12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gridSpan w:val="4"/>
          </w:tcPr>
          <w:p>
            <w:pPr>
              <w:jc w:val="right"/>
              <w:ind w:right="220"/>
              <w:spacing w:after="0" w:line="157"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80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2021</w:t>
            </w: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Restated</w:t>
            </w: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40" w:type="dxa"/>
            <w:vAlign w:val="bottom"/>
          </w:tcPr>
          <w:p>
            <w:pPr>
              <w:spacing w:after="0"/>
              <w:rPr>
                <w:sz w:val="12"/>
                <w:szCs w:val="12"/>
                <w:color w:val="auto"/>
              </w:rPr>
            </w:pPr>
          </w:p>
        </w:tc>
        <w:tc>
          <w:tcPr>
            <w:tcW w:w="9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Foreign currency translation adjustment, net of nil income taxes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(loss)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7,948</w:t>
            </w:r>
          </w:p>
        </w:tc>
        <w:tc>
          <w:tcPr>
            <w:tcW w:w="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ordinary share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 Basic and 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 ordinary shares outstanding used in computing net income per</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ordinary share</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 Basic and 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9,495,844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12,999,986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7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82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2021</w:t>
            </w:r>
          </w:p>
        </w:tc>
        <w:tc>
          <w:tcPr>
            <w:tcW w:w="9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7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Restated</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900" w:type="dxa"/>
            <w:vAlign w:val="bottom"/>
          </w:tcPr>
          <w:p>
            <w:pPr>
              <w:spacing w:after="0"/>
              <w:rPr>
                <w:sz w:val="12"/>
                <w:szCs w:val="12"/>
                <w:color w:val="auto"/>
              </w:rPr>
            </w:pPr>
          </w:p>
        </w:tc>
        <w:tc>
          <w:tcPr>
            <w:tcW w:w="9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7,983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write-down</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Deferred tax</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(351)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128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expense to reduce right-of-use assets</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Others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64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(9,160)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(9,713)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(30,213)</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(3,778)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3,706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1,998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2,662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w:t>
            </w:r>
          </w:p>
        </w:tc>
        <w:tc>
          <w:tcPr>
            <w:tcW w:w="9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Cash paid for purchase of property and equipment</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(594)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(594)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tbl>
      <w:tblPr>
        <w:tblLayout w:type="fixed"/>
        <w:tblInd w:w="12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2740" w:type="dxa"/>
            <w:vAlign w:val="bottom"/>
            <w:gridSpan w:val="4"/>
          </w:tcPr>
          <w:p>
            <w:pPr>
              <w:jc w:val="right"/>
              <w:ind w:right="440"/>
              <w:spacing w:after="0" w:line="157"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82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2021</w:t>
            </w:r>
          </w:p>
        </w:tc>
        <w:tc>
          <w:tcPr>
            <w:tcW w:w="9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7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Restated</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900" w:type="dxa"/>
            <w:vAlign w:val="bottom"/>
          </w:tcPr>
          <w:p>
            <w:pPr>
              <w:spacing w:after="0"/>
              <w:rPr>
                <w:sz w:val="12"/>
                <w:szCs w:val="12"/>
                <w:color w:val="auto"/>
              </w:rPr>
            </w:pPr>
          </w:p>
        </w:tc>
        <w:tc>
          <w:tcPr>
            <w:tcW w:w="9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Cash paid for finance lease obligations</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(372)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bank loans</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Proceeds from prepaid consideration of restricted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(530)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Effect of foreign currency exchange rate changes on cash and restricted cash</w:t>
            </w:r>
          </w:p>
        </w:tc>
        <w:tc>
          <w:tcPr>
            <w:tcW w:w="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vMerge w:val="continue"/>
          </w:tcPr>
          <w:p>
            <w:pPr>
              <w:spacing w:after="0"/>
              <w:rPr>
                <w:sz w:val="19"/>
                <w:szCs w:val="19"/>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(7,586)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(14,336)</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Cash and restricted cash at the beginning of the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62,197</w:t>
            </w:r>
          </w:p>
        </w:tc>
        <w:tc>
          <w:tcPr>
            <w:tcW w:w="9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at the end of the period</w:t>
            </w: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54,611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49,526</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paid</w:t>
            </w: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Income taxes paid</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303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94"/>
        </w:trPr>
        <w:tc>
          <w:tcPr>
            <w:tcW w:w="8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Purchase of property and equipment under finance leases</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GigaCloud Technology Inc (the “Company”, formerly known as Oriental Standard Human Resources Holdings Limited), its wholly-owned subsidiaries and consolidated variable interest entities (“VIEs”) (collectively referred to as the “Group”) have been prepared in accordance with accounting principles generally accepted in the United States of America (“U.S. GAAP”). Certain information and footnote disclosures normally included in financial statements prepared in accordance with U.S. GAAP have been condensed or omitted as permitted by rules and regulations of the U.S. Securities and Exchange Commission (“SEC”). The consolidated balance sheet as of December 31, 2021 was derived from the audited consolidated financial statements of the Group. The accompanying unaudited condensed consolidated financial statements should be read in conjunction with the audited consolidated financial statements of the Group as of and for the year ended December 31, 2021.</w:t>
      </w:r>
    </w:p>
    <w:p>
      <w:pPr>
        <w:spacing w:after="0" w:line="192"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In the opinion of management, all adjustments (which include normal recurring adjustments) necessary to present a fair statement of the financial position as of March 31, 2021, the results of operations and cash flows for the three months ended March 31, 2021 and 2022, have been made.</w:t>
      </w:r>
    </w:p>
    <w:p>
      <w:pPr>
        <w:spacing w:after="0" w:line="12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 xml:space="preserve">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dates, and the reported revenues and expenses during the reported periods. Significant accounting estimates include, but not limited to, returns allowance, determination of the stand-alone selling price (“SSP”), the valuation and recognition of share-based compensation arrangements, taxation, assessment for impairment of long-lived assets, allowance for doubtful accounts, inventory reserve for excess and obsolete inventories, lower of cost and net realizable value of inventories, useful lives of property and equipment, commitments and contingencies. Further, as the Group ships a large volume of packages through carriers to facilitate product sales to individual customer through third-party on-line platforms, actual delivery dates may not always be available and as such the Company estimates delivery dates based on historical data. Incremental borrowing rate of leases, and the length of lease terms which vary by country and often include renewal options, are important factor in determining the appropriate accounting for leases including the initial classification of the lease as finance (referred to as “capital leases” prior to the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or operating and the recognition of rent expense over the duration of the lease. Actual results could differ from those estimates, and as such, differences may be material to the unaudited condensed consolidated financial statements.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Restatement of Previously Issued Unaudited Condensed Financial Statements</w:t>
      </w:r>
    </w:p>
    <w:p>
      <w:pPr>
        <w:spacing w:after="0" w:line="225"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color w:val="auto"/>
        </w:rPr>
        <w:t>During the course of preparing the Group’s consolidated financial statements as of and for the year ended December 31, 2021, management realized that, ASC 718 (“ASC 718”) Compensation—Stock Compensation, was not appropriately applied and led to certain errors in its previously issued unaudited condensed financial statements as of and for the three months ended March 31, 2021 in relation to the recognition of its share-based compensation expenses. In particular, with respect to those share awards which contain, in addition to requisite service condition, a performance condition of being exercisable only after the consummation of a qualified initial public offering by the Group. The Group previously inadvertently recognized share-based payment expenses using the straight-line basis over the requisite service period for each separately vesting portion. The Group should have recognized the compensation expenses relating to these share awards vested cumulatively upon the consummation of a qualified initial public offering which is the point when the qualified initial public offering would become probable. As a result, the Group has restated the previously issued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unaudited condensed financial statements as of and for the three months ended March 31, 2021. The effect of the correction of errors in accompany unaudited condensed consolidated statement of balance sheet, unaudited condensed consolidated statement of comprehensive income, the unaudited condensed consolidated statement of changes in shareholders’ equity and the unaudited condensed consolidated statement of cash flows is summarized below. There was no tax impact related to the correction.</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88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3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Impact of</w:t>
            </w:r>
          </w:p>
        </w:tc>
        <w:tc>
          <w:tcPr>
            <w:tcW w:w="360" w:type="dxa"/>
            <w:vAlign w:val="bottom"/>
            <w:gridSpan w:val="3"/>
          </w:tcPr>
          <w:p>
            <w:pPr>
              <w:jc w:val="center"/>
              <w:ind w:left="122"/>
              <w:spacing w:after="0" w:line="119" w:lineRule="exact"/>
              <w:rPr>
                <w:sz w:val="20"/>
                <w:szCs w:val="20"/>
                <w:color w:val="auto"/>
              </w:rPr>
            </w:pPr>
            <w:r>
              <w:rPr>
                <w:rFonts w:ascii="Arial" w:cs="Arial" w:eastAsia="Arial" w:hAnsi="Arial"/>
                <w:sz w:val="13"/>
                <w:szCs w:val="13"/>
                <w:b w:val="1"/>
                <w:bCs w:val="1"/>
                <w:color w:val="auto"/>
                <w:w w:val="96"/>
              </w:rPr>
              <w:t>As</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380" w:type="dxa"/>
            <w:vAlign w:val="bottom"/>
          </w:tcPr>
          <w:p>
            <w:pPr>
              <w:spacing w:after="0"/>
              <w:rPr>
                <w:sz w:val="10"/>
                <w:szCs w:val="10"/>
                <w:color w:val="auto"/>
              </w:rPr>
            </w:pPr>
          </w:p>
        </w:tc>
        <w:tc>
          <w:tcPr>
            <w:tcW w:w="98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Reported</w:t>
            </w:r>
          </w:p>
        </w:tc>
        <w:tc>
          <w:tcPr>
            <w:tcW w:w="3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6"/>
          </w:tcPr>
          <w:p>
            <w:pPr>
              <w:jc w:val="center"/>
              <w:ind w:right="330"/>
              <w:spacing w:after="0"/>
              <w:rPr>
                <w:sz w:val="20"/>
                <w:szCs w:val="20"/>
                <w:color w:val="auto"/>
              </w:rPr>
            </w:pPr>
            <w:r>
              <w:rPr>
                <w:rFonts w:ascii="Arial" w:cs="Arial" w:eastAsia="Arial" w:hAnsi="Arial"/>
                <w:sz w:val="14"/>
                <w:szCs w:val="14"/>
                <w:b w:val="1"/>
                <w:bCs w:val="1"/>
                <w:color w:val="auto"/>
                <w:w w:val="91"/>
              </w:rPr>
              <w:t>Restated</w:t>
            </w:r>
          </w:p>
        </w:tc>
        <w:tc>
          <w:tcPr>
            <w:tcW w:w="8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Reported</w:t>
            </w:r>
          </w:p>
        </w:tc>
        <w:tc>
          <w:tcPr>
            <w:tcW w:w="380" w:type="dxa"/>
            <w:vAlign w:val="bottom"/>
          </w:tcPr>
          <w:p>
            <w:pPr>
              <w:spacing w:after="0"/>
              <w:rPr>
                <w:sz w:val="14"/>
                <w:szCs w:val="1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40" w:type="dxa"/>
            <w:vAlign w:val="bottom"/>
          </w:tcPr>
          <w:p>
            <w:pPr>
              <w:spacing w:after="0"/>
              <w:rPr>
                <w:sz w:val="12"/>
                <w:szCs w:val="12"/>
                <w:color w:val="auto"/>
              </w:rPr>
            </w:pPr>
          </w:p>
        </w:tc>
        <w:tc>
          <w:tcPr>
            <w:tcW w:w="5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12"/>
                <w:szCs w:val="12"/>
                <w:color w:val="auto"/>
              </w:rPr>
            </w:pPr>
          </w:p>
        </w:tc>
        <w:tc>
          <w:tcPr>
            <w:tcW w:w="80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36,569</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(8,811)</w:t>
            </w:r>
          </w:p>
        </w:tc>
        <w:tc>
          <w:tcPr>
            <w:tcW w:w="920" w:type="dxa"/>
            <w:vAlign w:val="bottom"/>
            <w:gridSpan w:val="5"/>
            <w:shd w:val="clear" w:color="auto" w:fill="CCEEFF"/>
          </w:tcPr>
          <w:p>
            <w:pPr>
              <w:jc w:val="right"/>
              <w:ind w:right="308"/>
              <w:spacing w:after="0"/>
              <w:rPr>
                <w:sz w:val="20"/>
                <w:szCs w:val="20"/>
                <w:color w:val="auto"/>
              </w:rPr>
            </w:pPr>
            <w:r>
              <w:rPr>
                <w:rFonts w:ascii="Arial" w:cs="Arial" w:eastAsia="Arial" w:hAnsi="Arial"/>
                <w:sz w:val="18"/>
                <w:szCs w:val="18"/>
                <w:color w:val="auto"/>
                <w:w w:val="94"/>
              </w:rPr>
              <w:t>27,758</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36,697</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(8,939)</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27,758</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Retained earnings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23,991</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8,811</w:t>
            </w:r>
          </w:p>
        </w:tc>
        <w:tc>
          <w:tcPr>
            <w:tcW w:w="920" w:type="dxa"/>
            <w:vAlign w:val="bottom"/>
            <w:gridSpan w:val="5"/>
          </w:tcPr>
          <w:p>
            <w:pPr>
              <w:jc w:val="right"/>
              <w:ind w:right="308"/>
              <w:spacing w:after="0"/>
              <w:rPr>
                <w:sz w:val="20"/>
                <w:szCs w:val="20"/>
                <w:color w:val="auto"/>
              </w:rPr>
            </w:pPr>
            <w:r>
              <w:rPr>
                <w:rFonts w:ascii="Arial" w:cs="Arial" w:eastAsia="Arial" w:hAnsi="Arial"/>
                <w:sz w:val="18"/>
                <w:szCs w:val="18"/>
                <w:color w:val="auto"/>
                <w:w w:val="94"/>
              </w:rPr>
              <w:t>32,802</w:t>
            </w:r>
          </w:p>
        </w:tc>
        <w:tc>
          <w:tcPr>
            <w:tcW w:w="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31,476</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8,939</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40,415</w:t>
            </w:r>
          </w:p>
        </w:tc>
        <w:tc>
          <w:tcPr>
            <w:tcW w:w="0" w:type="dxa"/>
            <w:vAlign w:val="bottom"/>
          </w:tcPr>
          <w:p>
            <w:pPr>
              <w:spacing w:after="0"/>
              <w:rPr>
                <w:sz w:val="1"/>
                <w:szCs w:val="1"/>
                <w:color w:val="auto"/>
              </w:rPr>
            </w:pPr>
          </w:p>
        </w:tc>
      </w:tr>
      <w:tr>
        <w:trPr>
          <w:trHeight w:val="377"/>
        </w:trPr>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center"/>
              <w:ind w:right="524"/>
              <w:spacing w:after="0"/>
              <w:rPr>
                <w:sz w:val="20"/>
                <w:szCs w:val="20"/>
                <w:color w:val="auto"/>
              </w:rPr>
            </w:pPr>
            <w:r>
              <w:rPr>
                <w:rFonts w:ascii="Arial" w:cs="Arial" w:eastAsia="Arial" w:hAnsi="Arial"/>
                <w:sz w:val="14"/>
                <w:szCs w:val="14"/>
                <w:b w:val="1"/>
                <w:bCs w:val="1"/>
                <w:color w:val="auto"/>
                <w:w w:val="95"/>
              </w:rPr>
              <w:t>Three Months Ended March 31, 2021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8"/>
          </w:tcPr>
          <w:p>
            <w:pPr>
              <w:jc w:val="center"/>
              <w:ind w:right="548"/>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360" w:type="dxa"/>
            <w:vAlign w:val="bottom"/>
            <w:gridSpan w:val="5"/>
          </w:tcPr>
          <w:p>
            <w:pPr>
              <w:jc w:val="center"/>
              <w:ind w:right="560"/>
              <w:spacing w:after="0" w:line="119" w:lineRule="exact"/>
              <w:rPr>
                <w:sz w:val="20"/>
                <w:szCs w:val="20"/>
                <w:color w:val="auto"/>
              </w:rPr>
            </w:pPr>
            <w:r>
              <w:rPr>
                <w:rFonts w:ascii="Arial" w:cs="Arial" w:eastAsia="Arial" w:hAnsi="Arial"/>
                <w:sz w:val="13"/>
                <w:szCs w:val="13"/>
                <w:b w:val="1"/>
                <w:bCs w:val="1"/>
                <w:color w:val="auto"/>
              </w:rPr>
              <w:t>Impact of</w:t>
            </w:r>
          </w:p>
        </w:tc>
        <w:tc>
          <w:tcPr>
            <w:tcW w:w="86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7"/>
          </w:tcPr>
          <w:p>
            <w:pPr>
              <w:jc w:val="center"/>
              <w:ind w:right="568"/>
              <w:spacing w:after="0"/>
              <w:rPr>
                <w:sz w:val="20"/>
                <w:szCs w:val="20"/>
                <w:color w:val="auto"/>
              </w:rPr>
            </w:pPr>
            <w:r>
              <w:rPr>
                <w:rFonts w:ascii="Arial" w:cs="Arial" w:eastAsia="Arial" w:hAnsi="Arial"/>
                <w:sz w:val="14"/>
                <w:szCs w:val="14"/>
                <w:b w:val="1"/>
                <w:bCs w:val="1"/>
                <w:color w:val="auto"/>
                <w:w w:val="94"/>
              </w:rPr>
              <w:t>Reported</w:t>
            </w:r>
          </w:p>
        </w:tc>
        <w:tc>
          <w:tcPr>
            <w:tcW w:w="13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Adjustments</w:t>
            </w:r>
          </w:p>
        </w:tc>
        <w:tc>
          <w:tcPr>
            <w:tcW w:w="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5"/>
              </w:rPr>
              <w:t>US$</w:t>
            </w:r>
          </w:p>
        </w:tc>
        <w:tc>
          <w:tcPr>
            <w:tcW w:w="56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w w:val="87"/>
              </w:rPr>
              <w:t>US$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6"/>
          </w:tcPr>
          <w:p>
            <w:pPr>
              <w:jc w:val="right"/>
              <w:ind w:right="408"/>
              <w:spacing w:after="0"/>
              <w:rPr>
                <w:sz w:val="20"/>
                <w:szCs w:val="20"/>
                <w:color w:val="auto"/>
              </w:rPr>
            </w:pPr>
            <w:r>
              <w:rPr>
                <w:rFonts w:ascii="Arial" w:cs="Arial" w:eastAsia="Arial" w:hAnsi="Arial"/>
                <w:sz w:val="18"/>
                <w:szCs w:val="18"/>
                <w:color w:val="auto"/>
              </w:rPr>
              <w:t>(3,069)</w:t>
            </w:r>
          </w:p>
        </w:tc>
        <w:tc>
          <w:tcPr>
            <w:tcW w:w="60" w:type="dxa"/>
            <w:vAlign w:val="bottom"/>
          </w:tcPr>
          <w:p>
            <w:pPr>
              <w:spacing w:after="0"/>
              <w:rPr>
                <w:sz w:val="18"/>
                <w:szCs w:val="18"/>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408"/>
              <w:spacing w:after="0"/>
              <w:rPr>
                <w:sz w:val="20"/>
                <w:szCs w:val="20"/>
                <w:color w:val="auto"/>
              </w:rPr>
            </w:pPr>
            <w:r>
              <w:rPr>
                <w:rFonts w:ascii="Arial" w:cs="Arial" w:eastAsia="Arial" w:hAnsi="Arial"/>
                <w:sz w:val="18"/>
                <w:szCs w:val="18"/>
                <w:color w:val="auto"/>
              </w:rPr>
              <w:t>(10,428)</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6"/>
          </w:tcPr>
          <w:p>
            <w:pPr>
              <w:jc w:val="right"/>
              <w:ind w:right="468"/>
              <w:spacing w:after="0"/>
              <w:rPr>
                <w:sz w:val="20"/>
                <w:szCs w:val="20"/>
                <w:color w:val="auto"/>
              </w:rPr>
            </w:pPr>
            <w:r>
              <w:rPr>
                <w:rFonts w:ascii="Arial" w:cs="Arial" w:eastAsia="Arial" w:hAnsi="Arial"/>
                <w:sz w:val="18"/>
                <w:szCs w:val="18"/>
                <w:color w:val="auto"/>
              </w:rPr>
              <w:t>10,460</w:t>
            </w:r>
          </w:p>
        </w:tc>
        <w:tc>
          <w:tcPr>
            <w:tcW w:w="60" w:type="dxa"/>
            <w:vAlign w:val="bottom"/>
          </w:tcPr>
          <w:p>
            <w:pPr>
              <w:spacing w:after="0"/>
              <w:rPr>
                <w:sz w:val="18"/>
                <w:szCs w:val="18"/>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10,588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468"/>
              <w:spacing w:after="0"/>
              <w:rPr>
                <w:sz w:val="20"/>
                <w:szCs w:val="20"/>
                <w:color w:val="auto"/>
              </w:rPr>
            </w:pPr>
            <w:r>
              <w:rPr>
                <w:rFonts w:ascii="Arial" w:cs="Arial" w:eastAsia="Arial" w:hAnsi="Arial"/>
                <w:sz w:val="18"/>
                <w:szCs w:val="18"/>
                <w:color w:val="auto"/>
              </w:rPr>
              <w:t>9,805</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6"/>
          </w:tcPr>
          <w:p>
            <w:pPr>
              <w:jc w:val="right"/>
              <w:ind w:right="468"/>
              <w:spacing w:after="0"/>
              <w:rPr>
                <w:sz w:val="20"/>
                <w:szCs w:val="20"/>
                <w:color w:val="auto"/>
              </w:rPr>
            </w:pPr>
            <w:r>
              <w:rPr>
                <w:rFonts w:ascii="Arial" w:cs="Arial" w:eastAsia="Arial" w:hAnsi="Arial"/>
                <w:sz w:val="18"/>
                <w:szCs w:val="18"/>
                <w:color w:val="auto"/>
              </w:rPr>
              <w:t>7,855</w:t>
            </w:r>
          </w:p>
        </w:tc>
        <w:tc>
          <w:tcPr>
            <w:tcW w:w="60" w:type="dxa"/>
            <w:vAlign w:val="bottom"/>
          </w:tcPr>
          <w:p>
            <w:pPr>
              <w:spacing w:after="0"/>
              <w:rPr>
                <w:sz w:val="18"/>
                <w:szCs w:val="18"/>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ordinary shareholders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468"/>
              <w:spacing w:after="0"/>
              <w:rPr>
                <w:sz w:val="20"/>
                <w:szCs w:val="20"/>
                <w:color w:val="auto"/>
              </w:rPr>
            </w:pPr>
            <w:r>
              <w:rPr>
                <w:rFonts w:ascii="Arial" w:cs="Arial" w:eastAsia="Arial" w:hAnsi="Arial"/>
                <w:sz w:val="18"/>
                <w:szCs w:val="18"/>
                <w:color w:val="auto"/>
              </w:rPr>
              <w:t>7,485</w:t>
            </w:r>
          </w:p>
        </w:tc>
        <w:tc>
          <w:tcPr>
            <w:tcW w:w="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6"/>
          </w:tcPr>
          <w:p>
            <w:pPr>
              <w:jc w:val="right"/>
              <w:ind w:right="468"/>
              <w:spacing w:after="0"/>
              <w:rPr>
                <w:sz w:val="20"/>
                <w:szCs w:val="20"/>
                <w:color w:val="auto"/>
              </w:rPr>
            </w:pPr>
            <w:r>
              <w:rPr>
                <w:rFonts w:ascii="Arial" w:cs="Arial" w:eastAsia="Arial" w:hAnsi="Arial"/>
                <w:sz w:val="18"/>
                <w:szCs w:val="18"/>
                <w:color w:val="auto"/>
              </w:rPr>
              <w:t>7,820</w:t>
            </w:r>
          </w:p>
        </w:tc>
        <w:tc>
          <w:tcPr>
            <w:tcW w:w="60" w:type="dxa"/>
            <w:vAlign w:val="bottom"/>
          </w:tcPr>
          <w:p>
            <w:pPr>
              <w:spacing w:after="0"/>
              <w:rPr>
                <w:sz w:val="18"/>
                <w:szCs w:val="18"/>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7,948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—Basic and diluted</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6"/>
          </w:tcPr>
          <w:p>
            <w:pPr>
              <w:jc w:val="right"/>
              <w:ind w:right="468"/>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20"/>
                <w:szCs w:val="20"/>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9"/>
          </w:tcPr>
          <w:p>
            <w:pPr>
              <w:jc w:val="center"/>
              <w:ind w:right="608"/>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360" w:type="dxa"/>
            <w:vAlign w:val="bottom"/>
            <w:gridSpan w:val="5"/>
          </w:tcPr>
          <w:p>
            <w:pPr>
              <w:jc w:val="center"/>
              <w:ind w:right="700"/>
              <w:spacing w:after="0" w:line="119"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0"/>
                <w:szCs w:val="10"/>
                <w:color w:val="auto"/>
              </w:rPr>
            </w:pPr>
          </w:p>
        </w:tc>
        <w:tc>
          <w:tcPr>
            <w:tcW w:w="8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Changes in Shareholders’ Equity: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7,855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9"/>
          </w:tcPr>
          <w:p>
            <w:pPr>
              <w:jc w:val="center"/>
              <w:ind w:right="608"/>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360" w:type="dxa"/>
            <w:vAlign w:val="bottom"/>
            <w:gridSpan w:val="5"/>
          </w:tcPr>
          <w:p>
            <w:pPr>
              <w:jc w:val="center"/>
              <w:ind w:right="700"/>
              <w:spacing w:after="0" w:line="119"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0"/>
                <w:szCs w:val="10"/>
                <w:color w:val="auto"/>
              </w:rPr>
            </w:pPr>
          </w:p>
        </w:tc>
        <w:tc>
          <w:tcPr>
            <w:tcW w:w="8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7,855</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128</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560" w:type="dxa"/>
            <w:vAlign w:val="bottom"/>
          </w:tcPr>
          <w:p>
            <w:pPr>
              <w:spacing w:after="0"/>
              <w:rPr>
                <w:sz w:val="24"/>
                <w:szCs w:val="24"/>
                <w:color w:val="auto"/>
              </w:rPr>
            </w:pPr>
          </w:p>
        </w:tc>
        <w:tc>
          <w:tcPr>
            <w:tcW w:w="2460" w:type="dxa"/>
            <w:vAlign w:val="bottom"/>
            <w:gridSpan w:val="5"/>
          </w:tcPr>
          <w:p>
            <w:pPr>
              <w:jc w:val="right"/>
              <w:ind w:right="1340"/>
              <w:spacing w:after="0"/>
              <w:rPr>
                <w:sz w:val="20"/>
                <w:szCs w:val="20"/>
                <w:color w:val="auto"/>
              </w:rPr>
            </w:pPr>
            <w:r>
              <w:rPr>
                <w:rFonts w:ascii="Arial" w:cs="Arial" w:eastAsia="Arial" w:hAnsi="Arial"/>
                <w:sz w:val="18"/>
                <w:szCs w:val="18"/>
                <w:color w:val="auto"/>
              </w:rPr>
              <w:t>F-60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Summary Financial Information of the Company’s VIEs in the Unaudited Condensed Consolidated Financial Statements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February 2021, the Company terminated the Account Control Agreement with one of its consolidated VIEs, Suzhou Dajianyun Transport Co., Ltd. (“Suzhou GigaCloud”). In connection with the termination of the Account Control Agreement, the Company, through its wholly-owned subsidiary GigaCloud Technology (Suzhou) Co., Ltd. (“OS Suzhou”, formerly known as Oriental Standard Network Technology (Suzhou) Co., Ltd), acquired 100% of the equity interest in Suzhou GigaCloud which then became the Company’s indirect wholly-owned subsidiary.</w:t>
      </w:r>
    </w:p>
    <w:p>
      <w:pPr>
        <w:spacing w:after="0" w:line="171" w:lineRule="exact"/>
        <w:rPr>
          <w:sz w:val="20"/>
          <w:szCs w:val="20"/>
          <w:color w:val="auto"/>
        </w:rPr>
      </w:pPr>
    </w:p>
    <w:p>
      <w:pPr>
        <w:jc w:val="both"/>
        <w:ind w:left="120" w:right="240" w:firstLine="881"/>
        <w:spacing w:after="0" w:line="279" w:lineRule="auto"/>
        <w:rPr>
          <w:sz w:val="20"/>
          <w:szCs w:val="20"/>
          <w:color w:val="auto"/>
        </w:rPr>
      </w:pPr>
      <w:r>
        <w:rPr>
          <w:rFonts w:ascii="Arial" w:cs="Arial" w:eastAsia="Arial" w:hAnsi="Arial"/>
          <w:sz w:val="17"/>
          <w:szCs w:val="17"/>
          <w:color w:val="auto"/>
        </w:rPr>
        <w:t>The following unaudited condensed consolidated assets and liabilities information of the Company’s VIEs as of December 31, 2021 and March 31, 2022, and unaudited condensed consolidated revenues, net (loss) income and cash flow information for the three months ended March 31, 2021 and 2022, have been included in the accompanying unaudited condensed consolidated financial statements. All intercompany transactions and balances between the VIEs and its wholly-owned subsidiaries have been eliminated upon consolidation.</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gridSpan w:val="2"/>
          </w:tcPr>
          <w:p>
            <w:pPr>
              <w:jc w:val="center"/>
              <w:ind w:left="1113"/>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gridSpan w:val="2"/>
          </w:tcPr>
          <w:p>
            <w:pPr>
              <w:jc w:val="center"/>
              <w:ind w:left="1113"/>
              <w:spacing w:after="0"/>
              <w:rPr>
                <w:sz w:val="20"/>
                <w:szCs w:val="20"/>
                <w:color w:val="auto"/>
              </w:rPr>
            </w:pPr>
            <w:r>
              <w:rPr>
                <w:rFonts w:ascii="Arial" w:cs="Arial" w:eastAsia="Arial" w:hAnsi="Arial"/>
                <w:sz w:val="14"/>
                <w:szCs w:val="14"/>
                <w:b w:val="1"/>
                <w:bCs w:val="1"/>
                <w:color w:val="auto"/>
                <w:w w:val="89"/>
              </w:rPr>
              <w:t>2021</w:t>
            </w:r>
          </w:p>
        </w:tc>
        <w:tc>
          <w:tcPr>
            <w:tcW w:w="132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2,241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19,373</w:t>
            </w:r>
          </w:p>
        </w:tc>
        <w:tc>
          <w:tcPr>
            <w:tcW w:w="6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20,033</w:t>
            </w:r>
          </w:p>
        </w:tc>
        <w:tc>
          <w:tcPr>
            <w:tcW w:w="6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Contract liabilities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payable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1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21,851</w:t>
            </w:r>
          </w:p>
        </w:tc>
        <w:tc>
          <w:tcPr>
            <w:tcW w:w="6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52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21,851</w:t>
            </w:r>
          </w:p>
        </w:tc>
        <w:tc>
          <w:tcPr>
            <w:tcW w:w="6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8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December 31, 2021 and March 31, 2022, amounts due to and due from related parties represent the loans, receivables and payables that the VIEs had with the Company’s consolidated subsidiaries, which were eliminated upon consolidation.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80"/>
          </w:cols>
          <w:pgMar w:left="320" w:top="459" w:right="49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2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1020" w:type="dxa"/>
            <w:vAlign w:val="bottom"/>
          </w:tcPr>
          <w:p>
            <w:pPr>
              <w:spacing w:after="0"/>
              <w:rPr>
                <w:sz w:val="12"/>
                <w:szCs w:val="12"/>
                <w:color w:val="auto"/>
              </w:rPr>
            </w:pPr>
          </w:p>
        </w:tc>
        <w:tc>
          <w:tcPr>
            <w:tcW w:w="9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0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(45)</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10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Cash at the end of the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4,733</w:t>
            </w:r>
          </w:p>
        </w:tc>
        <w:tc>
          <w:tcPr>
            <w:tcW w:w="1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Concentration and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customers and suppliers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 customers individually represent greater than 10% of total revenues of the Group for the three months ended March 31, 2021 and 2022.</w:t>
      </w:r>
    </w:p>
    <w:p>
      <w:pPr>
        <w:spacing w:after="0" w:line="248"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One customer individually represents greater than 10% of total accounts receivable balance of the Group as of December 31, 2021 and March 31, 2022.</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2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December 31, 2021</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r>
      <w:tr>
        <w:trPr>
          <w:trHeight w:val="123"/>
        </w:trPr>
        <w:tc>
          <w:tcPr>
            <w:tcW w:w="25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i w:val="1"/>
                <w:iCs w:val="1"/>
                <w:color w:val="auto"/>
                <w:w w:val="88"/>
              </w:rPr>
              <w:t>proportion of total</w:t>
            </w:r>
          </w:p>
        </w:tc>
        <w:tc>
          <w:tcPr>
            <w:tcW w:w="10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i w:val="1"/>
                <w:iCs w:val="1"/>
                <w:color w:val="auto"/>
                <w:w w:val="88"/>
              </w:rPr>
              <w:t>proportion of total</w:t>
            </w:r>
          </w:p>
        </w:tc>
        <w:tc>
          <w:tcPr>
            <w:tcW w:w="200" w:type="dxa"/>
            <w:vAlign w:val="bottom"/>
          </w:tcPr>
          <w:p>
            <w:pPr>
              <w:spacing w:after="0"/>
              <w:rPr>
                <w:sz w:val="10"/>
                <w:szCs w:val="10"/>
                <w:color w:val="auto"/>
              </w:rPr>
            </w:pPr>
          </w:p>
        </w:tc>
      </w:tr>
      <w:tr>
        <w:trPr>
          <w:trHeight w:val="148"/>
        </w:trPr>
        <w:tc>
          <w:tcPr>
            <w:tcW w:w="2500" w:type="dxa"/>
            <w:vAlign w:val="bottom"/>
          </w:tcPr>
          <w:p>
            <w:pPr>
              <w:spacing w:after="0"/>
              <w:rPr>
                <w:sz w:val="12"/>
                <w:szCs w:val="12"/>
                <w:color w:val="auto"/>
              </w:rPr>
            </w:pPr>
          </w:p>
        </w:tc>
        <w:tc>
          <w:tcPr>
            <w:tcW w:w="22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i w:val="1"/>
                <w:iCs w:val="1"/>
                <w:color w:val="auto"/>
                <w:w w:val="86"/>
              </w:rPr>
              <w:t>accounts receivable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6"/>
              </w:rPr>
              <w:t>accounts receivable</w:t>
            </w:r>
          </w:p>
        </w:tc>
      </w:tr>
      <w:tr>
        <w:trPr>
          <w:trHeight w:val="167"/>
        </w:trPr>
        <w:tc>
          <w:tcPr>
            <w:tcW w:w="2500" w:type="dxa"/>
            <w:vAlign w:val="bottom"/>
          </w:tcPr>
          <w:p>
            <w:pPr>
              <w:spacing w:after="0"/>
              <w:rPr>
                <w:sz w:val="14"/>
                <w:szCs w:val="14"/>
                <w:color w:val="auto"/>
              </w:rPr>
            </w:pPr>
          </w:p>
        </w:tc>
        <w:tc>
          <w:tcPr>
            <w:tcW w:w="2220" w:type="dxa"/>
            <w:vAlign w:val="bottom"/>
            <w:gridSpan w:val="2"/>
          </w:tcPr>
          <w:p>
            <w:pPr>
              <w:jc w:val="center"/>
              <w:ind w:right="1080"/>
              <w:spacing w:after="0"/>
              <w:rPr>
                <w:sz w:val="20"/>
                <w:szCs w:val="20"/>
                <w:color w:val="auto"/>
              </w:rPr>
            </w:pPr>
            <w:r>
              <w:rPr>
                <w:rFonts w:ascii="Arial" w:cs="Arial" w:eastAsia="Arial" w:hAnsi="Arial"/>
                <w:sz w:val="14"/>
                <w:szCs w:val="14"/>
                <w:b w:val="1"/>
                <w:bCs w:val="1"/>
                <w:i w:val="1"/>
                <w:iCs w:val="1"/>
                <w:color w:val="auto"/>
                <w:w w:val="88"/>
              </w:rPr>
              <w:t>balance</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8"/>
              </w:rPr>
              <w:t>balance</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2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26.6%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r>
    </w:tbl>
    <w:p>
      <w:pPr>
        <w:spacing w:after="0" w:line="20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There are no suppliers from whom purchases individually represent greater than 10% of the total purchases of the Group for the three months ended March 31, 2021 and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principally of cash, restricted cash, and accounts receivable.</w:t>
      </w:r>
    </w:p>
    <w:p>
      <w:pPr>
        <w:spacing w:after="0" w:line="170"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Cash that is restricted for withdrawal or use is reported separately on the face of the unaudited condensed consolidated balance sheets. The Group’s restricted cash represents security deposits held in designated bank accounts for issuance of letters of guarantee. A reconciliation of cash and restricted cash in the consolidated balance sheets to the amounts in the unaudited condensed consolidated statement of cash flows is as follows:</w:t>
      </w:r>
    </w:p>
    <w:p>
      <w:pPr>
        <w:spacing w:after="0" w:line="167"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40" w:type="dxa"/>
            <w:vAlign w:val="bottom"/>
            <w:gridSpan w:val="2"/>
          </w:tcPr>
          <w:p>
            <w:pPr>
              <w:jc w:val="center"/>
              <w:ind w:left="615"/>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63,198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Restricted Cash</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cash and restricted cash shown in the consolidated</w:t>
            </w:r>
          </w:p>
        </w:tc>
        <w:tc>
          <w:tcPr>
            <w:tcW w:w="7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statements of cash flows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63,862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3780"/>
              <w:spacing w:after="0"/>
              <w:rPr>
                <w:sz w:val="20"/>
                <w:szCs w:val="20"/>
                <w:color w:val="auto"/>
              </w:rPr>
            </w:pPr>
            <w:r>
              <w:rPr>
                <w:rFonts w:ascii="Arial" w:cs="Arial" w:eastAsia="Arial" w:hAnsi="Arial"/>
                <w:sz w:val="18"/>
                <w:szCs w:val="18"/>
                <w:color w:val="auto"/>
              </w:rPr>
              <w:t>F-62</w:t>
            </w: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The Group’s investment policy requires cash and restricted cash to be placed with high quality financial institutions and to limit the amount of credit risk from any one institution. The Group regularly evaluates the credit standing of the counterparties or financial institutions.</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is deposited into financial institutions at below locations: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4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4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Cayman Islands</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—Denominated in the US$</w:t>
            </w:r>
          </w:p>
        </w:tc>
        <w:tc>
          <w:tcPr>
            <w:tcW w:w="3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20,419</w:t>
            </w: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w:t>
            </w:r>
          </w:p>
        </w:tc>
        <w:tc>
          <w:tcPr>
            <w:tcW w:w="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balances held at Caymanian financial institutions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20,419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11,957</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Financial institutions in the United States</w:t>
            </w:r>
          </w:p>
        </w:tc>
        <w:tc>
          <w:tcPr>
            <w:tcW w:w="3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12,480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7,506</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w w:val="98"/>
              </w:rPr>
              <w:t>Total cash balances held at United States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12,480</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7,506</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Hong Kong</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18,175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13,984</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EUR</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3,038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GBP</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3,014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JPY</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cash balances held at Hong Kong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24,340</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21,766</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Japan</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JPY</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1,718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1,768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cash balances held at Japanese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United Kingdom</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GBP</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335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w w:val="89"/>
              </w:rPr>
              <w:t>Total cash balances held at the United Kingdom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the mainland of the PRC</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RMB</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2,071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2,871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—Denominated in the JPY</w:t>
            </w:r>
          </w:p>
        </w:tc>
        <w:tc>
          <w:tcPr>
            <w:tcW w:w="3700" w:type="dxa"/>
            <w:vAlign w:val="bottom"/>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balances held at the PRC financial institutions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2,580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3,525</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Financial institutions in Germany</w:t>
            </w:r>
          </w:p>
        </w:tc>
        <w:tc>
          <w:tcPr>
            <w:tcW w:w="3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EUR</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1,488</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235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GBP</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w w:val="99"/>
              </w:rPr>
              <w:t>Total cash balances held at the Germany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 in Vietnam</w:t>
            </w:r>
          </w:p>
        </w:tc>
        <w:tc>
          <w:tcPr>
            <w:tcW w:w="3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—Denominated in the VND</w:t>
            </w:r>
          </w:p>
        </w:tc>
        <w:tc>
          <w:tcPr>
            <w:tcW w:w="502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the US$</w:t>
            </w:r>
          </w:p>
        </w:tc>
        <w:tc>
          <w:tcPr>
            <w:tcW w:w="5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cash balances held at the Vietnam financial institutions</w:t>
            </w:r>
          </w:p>
        </w:tc>
        <w:tc>
          <w:tcPr>
            <w:tcW w:w="3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held at financial institutions</w:t>
            </w:r>
          </w:p>
        </w:tc>
        <w:tc>
          <w:tcPr>
            <w:tcW w:w="37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63,198</w:t>
            </w: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48,862</w:t>
            </w:r>
          </w:p>
        </w:tc>
        <w:tc>
          <w:tcPr>
            <w:tcW w:w="6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5020" w:type="dxa"/>
            <w:vAlign w:val="bottom"/>
            <w:gridSpan w:val="3"/>
          </w:tcPr>
          <w:p>
            <w:pPr>
              <w:ind w:left="40"/>
              <w:spacing w:after="0"/>
              <w:rPr>
                <w:sz w:val="20"/>
                <w:szCs w:val="20"/>
                <w:color w:val="auto"/>
              </w:rPr>
            </w:pPr>
            <w:r>
              <w:rPr>
                <w:rFonts w:ascii="Arial" w:cs="Arial" w:eastAsia="Arial" w:hAnsi="Arial"/>
                <w:sz w:val="18"/>
                <w:szCs w:val="18"/>
                <w:color w:val="auto"/>
              </w:rPr>
              <w:t>F-63</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Accounts receivable (Note 2), derived from product sales and provision of services on the Group’s GigaCloud Marketplace, as well as amounts due from third-party payment platforms (Note 4) derived from payment from individual customers collected by third-party payment platforms on behalf of the Group, are exposed to credit risk. The assessment of the counter parties’ creditworthiness is primarily based on past history of making payments when due and current ability to pay, taking into account information specific to the counter parties as well as pertaining to the economic environment in which the counter parties operate. Based on this analysis, the Group determines what credit terms, if any, to offer to each counter party individually. If the assessment indicates a likelihood of collection risk, the Company will not deliver the services or sell the products to or through the counter parties or require the counter parties to pay cash in time to secure payment.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Group’s borrowings bear interests at fixed rates. If the Group were to renew these borrowings, the Group might be subject to interest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rate risk.</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Group is exposed to risks from foreign currency exchange rate fluctuations on the translation of foreign operations into U.S. dollars and on the purchase of goods by these foreign operations that are not denominated in their local currencies. The Group’s exposure to foreign currency rate fluctuations is not material to the unaudited condensed consolidated statements of comprehensive income for the three months ended March 31, 2021 and 2022.</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Leases</w:t>
      </w:r>
    </w:p>
    <w:p>
      <w:pPr>
        <w:spacing w:after="0" w:line="22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(“ASU 2016-02” or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As an emerging growth company, the Group adopted these standards on January 1, 2022, using a modified retrospective method for leases that exist at, or are entered into after, January 1, 2022, and has not recast the comparative periods presented in the condensed consolidated financial statements. Additionally, the Group elected the package of practical expedients that allowed it not to reassess: (1) whether any expired or existing contracts are or contain leases, (2) lease classification for any expired or existing leases and (3) initial direct costs for any expired or existing leases. The Group also elected the hindsight practical expedient to determine the reasonably certain lease term for existing leases.</w:t>
      </w:r>
    </w:p>
    <w:p>
      <w:pPr>
        <w:spacing w:after="0" w:line="165" w:lineRule="exact"/>
        <w:rPr>
          <w:sz w:val="20"/>
          <w:szCs w:val="20"/>
          <w:color w:val="auto"/>
        </w:rPr>
      </w:pPr>
    </w:p>
    <w:p>
      <w:pPr>
        <w:ind w:left="120" w:right="120" w:firstLine="881"/>
        <w:spacing w:after="0" w:line="290" w:lineRule="auto"/>
        <w:rPr>
          <w:sz w:val="20"/>
          <w:szCs w:val="20"/>
          <w:color w:val="auto"/>
        </w:rPr>
      </w:pPr>
      <w:r>
        <w:rPr>
          <w:rFonts w:ascii="Arial" w:cs="Arial" w:eastAsia="Arial" w:hAnsi="Arial"/>
          <w:sz w:val="16"/>
          <w:szCs w:val="16"/>
          <w:color w:val="auto"/>
        </w:rPr>
        <w:t>The Group categorizes leases at their inception as either operating or finance leases. Lease agreements mainly cover office space and warehouses. Most of these leases are operating leases; however, certain warehouse storage shelves from a third party lessor are leased under finance leases. Leased assets pursuant to operating leases are included in operating lease right-of-use assets, while leased assets pursuant to finance leases are included in property and equipment, net. Operating lease right-of-use assets and liabilities are recognized at commencement date based on the present value of lease payments over the lease term. The Group uses a secured incremental borrowing rate as the discount rate for present value of lease payments when the rate implicit in the contract is not readily determinable. Leases that have a term of twelve months or less upon commencement date are considered short-term in nature. Accordingly, short-term leases are not included on the unaudited condensed consolidated balance sheets and are expensed on a straight-line basis over the lease term, which commences on the date the Group has the right to control the property.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adoption of ASC 842 does not have impact to the retained earnings of the Group as of January 1, 2022. The following table summarizes the effect on the consolidated balance sheet as a result of adopting ASC 842.</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Adjustments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77"/>
        </w:trPr>
        <w:tc>
          <w:tcPr>
            <w:tcW w:w="70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920" w:type="dxa"/>
            <w:vAlign w:val="bottom"/>
            <w:gridSpan w:val="2"/>
            <w:vMerge w:val="restart"/>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due to adoption of</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000" w:type="dxa"/>
            <w:vAlign w:val="bottom"/>
          </w:tcPr>
          <w:p>
            <w:pPr>
              <w:spacing w:after="0"/>
              <w:rPr>
                <w:sz w:val="4"/>
                <w:szCs w:val="4"/>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54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ASC 842</w:t>
            </w: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8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9,080</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(2,344)(a)</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150,568(b)</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150,568</w:t>
            </w:r>
          </w:p>
        </w:tc>
        <w:tc>
          <w:tcPr>
            <w:tcW w:w="0" w:type="dxa"/>
            <w:vAlign w:val="bottom"/>
          </w:tcPr>
          <w:p>
            <w:pPr>
              <w:spacing w:after="0"/>
              <w:rPr>
                <w:sz w:val="1"/>
                <w:szCs w:val="1"/>
                <w:color w:val="auto"/>
              </w:rPr>
            </w:pPr>
          </w:p>
        </w:tc>
      </w:tr>
      <w:tr>
        <w:trPr>
          <w:trHeight w:val="324"/>
        </w:trPr>
        <w:tc>
          <w:tcPr>
            <w:tcW w:w="7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19,721</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(4)(c)</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19,717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0"/>
              <w:spacing w:after="0"/>
              <w:rPr>
                <w:sz w:val="20"/>
                <w:szCs w:val="20"/>
                <w:color w:val="auto"/>
              </w:rPr>
            </w:pPr>
            <w:r>
              <w:rPr>
                <w:rFonts w:ascii="Arial" w:cs="Arial" w:eastAsia="Arial" w:hAnsi="Arial"/>
                <w:sz w:val="18"/>
                <w:szCs w:val="18"/>
                <w:color w:val="auto"/>
              </w:rPr>
              <w:t>28,612(d)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119,616(d)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119,616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2,345</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(2,345)(e)</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non-current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2,345(e)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prepaid rent reclassified to operating lease right-of-use assets.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result of discounting operating lease payments, the reclassification of prepaid rent and deferred rent accrual.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deferred rent accrual reclassified to operating lease right-of-use assets.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the recognition of operating lease liabilities, current and non-current.</w:t>
      </w:r>
    </w:p>
    <w:p>
      <w:pPr>
        <w:spacing w:after="0" w:line="130" w:lineRule="exact"/>
        <w:rPr>
          <w:rFonts w:ascii="Arial" w:cs="Arial" w:eastAsia="Arial" w:hAnsi="Arial"/>
          <w:sz w:val="18"/>
          <w:szCs w:val="18"/>
          <w:color w:val="auto"/>
        </w:rPr>
      </w:pPr>
    </w:p>
    <w:p>
      <w:pPr>
        <w:ind w:left="540" w:right="660" w:hanging="424"/>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account caption of “Capital lease obligations” in non-current liabilities was changed to “Finance lease obligations, non-current” upon adoption of ASC 842.</w:t>
      </w:r>
    </w:p>
    <w:p>
      <w:pPr>
        <w:spacing w:after="0" w:line="170" w:lineRule="exact"/>
        <w:rPr>
          <w:rFonts w:ascii="Arial" w:cs="Arial" w:eastAsia="Arial" w:hAnsi="Arial"/>
          <w:sz w:val="18"/>
          <w:szCs w:val="18"/>
          <w:color w:val="auto"/>
        </w:rPr>
      </w:pPr>
    </w:p>
    <w:p>
      <w:pPr>
        <w:ind w:left="340" w:hanging="224"/>
        <w:spacing w:after="0"/>
        <w:tabs>
          <w:tab w:leader="none" w:pos="34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Share-based awards granted to the employees and non-employee service providers in the form of restricted shares are subject to service and performance conditions. They are measured at the grant date fair value of the awards, and are recognized as compensation expense using the straight-line basis over the requisite service period, if and when the Group considers that it is probable that the performance condition will be achieved.</w:t>
      </w:r>
    </w:p>
    <w:p>
      <w:pPr>
        <w:spacing w:after="0" w:line="149" w:lineRule="exact"/>
        <w:rPr>
          <w:sz w:val="20"/>
          <w:szCs w:val="20"/>
          <w:color w:val="auto"/>
        </w:rPr>
      </w:pPr>
    </w:p>
    <w:p>
      <w:pPr>
        <w:jc w:val="both"/>
        <w:ind w:left="120" w:right="480" w:firstLine="881"/>
        <w:spacing w:after="0" w:line="381" w:lineRule="auto"/>
        <w:rPr>
          <w:sz w:val="20"/>
          <w:szCs w:val="20"/>
          <w:color w:val="auto"/>
        </w:rPr>
      </w:pPr>
      <w:r>
        <w:rPr>
          <w:rFonts w:ascii="Arial" w:cs="Arial" w:eastAsia="Arial" w:hAnsi="Arial"/>
          <w:sz w:val="15"/>
          <w:szCs w:val="15"/>
          <w:color w:val="auto"/>
        </w:rPr>
        <w:t>Ordinary shares issued to the former chief financial officer to compensate his service in the past do not require service or performance conditions, which are measured at the issuance date fair value of such ordinary shares and are recognized as compensation expense upon issuance.</w:t>
      </w:r>
    </w:p>
    <w:p>
      <w:pPr>
        <w:spacing w:after="0" w:line="100"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The grant date fair value of the ordinary shares and restricted shares is estimated using the income approach and equity allocation method. Estimation of the fair value of the shares involves significant assumptions that might not be observable in the market, and a number of complex and subjective variables, discount rate, risk-free interest rate and subjective judgments regarding the Group’s projected financial and operating results, its unique business risks, the liquidity of its ordinary shares and its operating history and prospects at the time the grants are made. The fair value of these awards was determined by management with the assistance from a valuation report prepared by an independent valuation firm using management’s estimates and assumptions.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The Group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ACCOUNTS RECEIVABLE, NET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net,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5"/>
          </w:tcPr>
          <w:p>
            <w:pPr>
              <w:jc w:val="center"/>
              <w:ind w:left="34"/>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8"/>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0" w:type="dxa"/>
            <w:vAlign w:val="bottom"/>
            <w:gridSpan w:val="4"/>
            <w:shd w:val="clear" w:color="auto" w:fill="CCEEFF"/>
          </w:tcPr>
          <w:p>
            <w:pPr>
              <w:jc w:val="center"/>
              <w:ind w:left="616"/>
              <w:spacing w:after="0"/>
              <w:rPr>
                <w:sz w:val="20"/>
                <w:szCs w:val="20"/>
                <w:color w:val="auto"/>
              </w:rPr>
            </w:pPr>
            <w:r>
              <w:rPr>
                <w:rFonts w:ascii="Arial" w:cs="Arial" w:eastAsia="Arial" w:hAnsi="Arial"/>
                <w:sz w:val="18"/>
                <w:szCs w:val="18"/>
                <w:color w:val="auto"/>
                <w:w w:val="90"/>
              </w:rPr>
              <w:t>18,187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19"/>
                <w:szCs w:val="19"/>
                <w:color w:val="auto"/>
              </w:rPr>
            </w:pPr>
          </w:p>
        </w:tc>
        <w:tc>
          <w:tcPr>
            <w:tcW w:w="1000" w:type="dxa"/>
            <w:vAlign w:val="bottom"/>
            <w:gridSpan w:val="4"/>
          </w:tcPr>
          <w:p>
            <w:pPr>
              <w:ind w:left="500"/>
              <w:spacing w:after="0"/>
              <w:rPr>
                <w:sz w:val="20"/>
                <w:szCs w:val="20"/>
                <w:color w:val="auto"/>
              </w:rPr>
            </w:pPr>
            <w:r>
              <w:rPr>
                <w:rFonts w:ascii="Arial" w:cs="Arial" w:eastAsia="Arial" w:hAnsi="Arial"/>
                <w:sz w:val="18"/>
                <w:szCs w:val="18"/>
                <w:color w:val="auto"/>
              </w:rPr>
              <w:t>(151)</w:t>
            </w:r>
          </w:p>
        </w:tc>
        <w:tc>
          <w:tcPr>
            <w:tcW w:w="5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3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center"/>
              <w:ind w:left="261"/>
              <w:spacing w:after="0"/>
              <w:rPr>
                <w:sz w:val="20"/>
                <w:szCs w:val="20"/>
                <w:color w:val="auto"/>
              </w:rPr>
            </w:pPr>
            <w:r>
              <w:rPr>
                <w:rFonts w:ascii="Arial" w:cs="Arial" w:eastAsia="Arial" w:hAnsi="Arial"/>
                <w:sz w:val="18"/>
                <w:szCs w:val="18"/>
                <w:b w:val="1"/>
                <w:bCs w:val="1"/>
                <w:color w:val="auto"/>
                <w:w w:val="90"/>
              </w:rPr>
              <w:t>18,036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21,112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880"/>
              <w:spacing w:after="0"/>
              <w:rPr>
                <w:sz w:val="20"/>
                <w:szCs w:val="20"/>
                <w:color w:val="auto"/>
              </w:rPr>
            </w:pPr>
            <w:r>
              <w:rPr>
                <w:rFonts w:ascii="Arial" w:cs="Arial" w:eastAsia="Arial" w:hAnsi="Arial"/>
                <w:sz w:val="18"/>
                <w:szCs w:val="18"/>
                <w:color w:val="auto"/>
              </w:rPr>
              <w:t>The movement of the allowance for doubtful accounts is as follows:</w:t>
            </w: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gridSpan w:val="10"/>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the beginning of the period</w:t>
            </w:r>
          </w:p>
        </w:tc>
        <w:tc>
          <w:tcPr>
            <w:tcW w:w="1200" w:type="dxa"/>
            <w:vAlign w:val="bottom"/>
            <w:gridSpan w:val="4"/>
            <w:shd w:val="clear" w:color="auto" w:fill="CCEEFF"/>
          </w:tcPr>
          <w:p>
            <w:pPr>
              <w:jc w:val="right"/>
              <w:ind w:right="428"/>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Additions charged to bad debt expense</w:t>
            </w:r>
          </w:p>
        </w:tc>
        <w:tc>
          <w:tcPr>
            <w:tcW w:w="1200" w:type="dxa"/>
            <w:vAlign w:val="bottom"/>
            <w:gridSpan w:val="4"/>
          </w:tcPr>
          <w:p>
            <w:pPr>
              <w:jc w:val="right"/>
              <w:ind w:right="428"/>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4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the end of the period</w:t>
            </w:r>
          </w:p>
        </w:tc>
        <w:tc>
          <w:tcPr>
            <w:tcW w:w="1200" w:type="dxa"/>
            <w:vAlign w:val="bottom"/>
            <w:gridSpan w:val="4"/>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(66)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880"/>
              <w:spacing w:after="0"/>
              <w:rPr>
                <w:sz w:val="20"/>
                <w:szCs w:val="20"/>
                <w:color w:val="auto"/>
              </w:rPr>
            </w:pPr>
            <w:r>
              <w:rPr>
                <w:rFonts w:ascii="Arial" w:cs="Arial" w:eastAsia="Arial" w:hAnsi="Arial"/>
                <w:sz w:val="18"/>
                <w:szCs w:val="18"/>
                <w:color w:val="auto"/>
              </w:rPr>
              <w:t>Inventories consisted of the following:</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Products available for sale</w:t>
            </w:r>
          </w:p>
        </w:tc>
        <w:tc>
          <w:tcPr>
            <w:tcW w:w="13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w w:val="87"/>
              </w:rPr>
              <w:t>56,444</w:t>
            </w: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Goods in transit</w:t>
            </w:r>
          </w:p>
        </w:tc>
        <w:tc>
          <w:tcPr>
            <w:tcW w:w="540" w:type="dxa"/>
            <w:vAlign w:val="bottom"/>
            <w:gridSpan w:val="2"/>
          </w:tcPr>
          <w:p>
            <w:pPr>
              <w:spacing w:after="0"/>
              <w:rPr>
                <w:sz w:val="19"/>
                <w:szCs w:val="19"/>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w w:val="87"/>
              </w:rPr>
              <w:t>24,997</w:t>
            </w:r>
          </w:p>
        </w:tc>
        <w:tc>
          <w:tcPr>
            <w:tcW w:w="5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36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w w:val="87"/>
              </w:rPr>
              <w:t>81,441</w:t>
            </w: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110,744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040" w:type="dxa"/>
            <w:vAlign w:val="bottom"/>
            <w:vMerge w:val="restart"/>
          </w:tcPr>
          <w:p>
            <w:pPr>
              <w:ind w:left="3800"/>
              <w:spacing w:after="0"/>
              <w:rPr>
                <w:sz w:val="20"/>
                <w:szCs w:val="20"/>
                <w:color w:val="auto"/>
              </w:rPr>
            </w:pPr>
            <w:r>
              <w:rPr>
                <w:rFonts w:ascii="Arial" w:cs="Arial" w:eastAsia="Arial" w:hAnsi="Arial"/>
                <w:sz w:val="18"/>
                <w:szCs w:val="18"/>
                <w:color w:val="auto"/>
              </w:rPr>
              <w:t>F-66</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PREPAYMENTS AND OTHER CURRENT ASSETS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Prepayments and other current assets as of December 31, 2021 and March 31, 2022 consisted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60" w:type="dxa"/>
            <w:vAlign w:val="bottom"/>
            <w:gridSpan w:val="2"/>
          </w:tcPr>
          <w:p>
            <w:pPr>
              <w:jc w:val="center"/>
              <w:ind w:left="933"/>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7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7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Value-added taxes recoverable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Advances to suppliers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third-party payment platforms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Deposits*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Others</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7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5,927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60" w:hanging="424"/>
        <w:spacing w:after="0" w:line="263"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deposits recorded in the prepayments and other current assets represent the deposits made to lessors for leasing warehouses and equipment, which are receivable within a year. The deposits of US$3,114 and US$3,052 as of December 31, 2021 and March 31, 2022, respectively. that are expected to be received beyond a year are recorded in the non-current assets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as of December 31, 2021 and March 31, 2022, consisted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8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Office and other equipment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Vehicles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Logistics, warehouse and other heavy equipment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2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0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12,307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15,091</w:t>
            </w:r>
          </w:p>
        </w:tc>
        <w:tc>
          <w:tcPr>
            <w:tcW w:w="12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(1,541)</w:t>
            </w: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0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13,550</w:t>
            </w:r>
          </w:p>
        </w:tc>
        <w:tc>
          <w:tcPr>
            <w:tcW w:w="12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carrying amounts of the Company’s property and equipment, net, acquired under finance leases as of December 31, 2021 and March 31, 2022 were as follows: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180" w:type="dxa"/>
            <w:vAlign w:val="bottom"/>
            <w:gridSpan w:val="3"/>
          </w:tcPr>
          <w:p>
            <w:pPr>
              <w:jc w:val="center"/>
              <w:ind w:left="1415"/>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3"/>
              </w:rPr>
              <w:t>Logistics, warehouse and other heavy equipment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20" w:type="dxa"/>
            <w:vAlign w:val="bottom"/>
            <w:shd w:val="clear" w:color="auto" w:fill="CCEEFF"/>
          </w:tcPr>
          <w:p>
            <w:pPr>
              <w:spacing w:after="0"/>
              <w:rPr>
                <w:sz w:val="18"/>
                <w:szCs w:val="18"/>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9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10,015</w:t>
            </w:r>
          </w:p>
        </w:tc>
        <w:tc>
          <w:tcPr>
            <w:tcW w:w="12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9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9,605</w:t>
            </w:r>
          </w:p>
        </w:tc>
        <w:tc>
          <w:tcPr>
            <w:tcW w:w="1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180" w:type="dxa"/>
            <w:vAlign w:val="bottom"/>
            <w:gridSpan w:val="3"/>
          </w:tcPr>
          <w:p>
            <w:pPr>
              <w:jc w:val="right"/>
              <w:ind w:right="2700"/>
              <w:spacing w:after="0"/>
              <w:rPr>
                <w:sz w:val="20"/>
                <w:szCs w:val="20"/>
                <w:color w:val="auto"/>
              </w:rPr>
            </w:pPr>
            <w:r>
              <w:rPr>
                <w:rFonts w:ascii="Arial" w:cs="Arial" w:eastAsia="Arial" w:hAnsi="Arial"/>
                <w:sz w:val="18"/>
                <w:szCs w:val="18"/>
                <w:color w:val="auto"/>
              </w:rPr>
              <w:t>F-67</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Depreciation and amortization expenses on property and equipment were allocated to the following expense items: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90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4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depreciation expenses</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BORROWINGS</w:t>
            </w: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9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Secured bank loans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1540"/>
              <w:spacing w:after="0"/>
              <w:rPr>
                <w:sz w:val="20"/>
                <w:szCs w:val="20"/>
                <w:color w:val="auto"/>
              </w:rPr>
            </w:pPr>
            <w:r>
              <w:rPr>
                <w:rFonts w:ascii="Arial" w:cs="Arial" w:eastAsia="Arial" w:hAnsi="Arial"/>
                <w:sz w:val="18"/>
                <w:szCs w:val="18"/>
                <w:b w:val="1"/>
                <w:bCs w:val="1"/>
                <w:color w:val="auto"/>
              </w:rPr>
              <w:t>Long-term borrowings</w:t>
            </w:r>
          </w:p>
        </w:tc>
        <w:tc>
          <w:tcPr>
            <w:tcW w:w="7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borrowings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Long-term borrowings, excluding current portion</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In July and October of 2020, the Group borrowed two three-year loans from MIZUHO Bank with the principal of US$375 and US$756, respectively. The loans bear no interest rate and are guaranteed by the chairman of the board of Oriental Standard Japan Co., Ltd.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ACCOUNTS PAYABLE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20" w:type="dxa"/>
            <w:vAlign w:val="bottom"/>
            <w:gridSpan w:val="2"/>
          </w:tcPr>
          <w:p>
            <w:pPr>
              <w:jc w:val="center"/>
              <w:ind w:left="2193"/>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Vendor payable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Shipping charges payable and others</w:t>
            </w:r>
          </w:p>
        </w:tc>
        <w:tc>
          <w:tcPr>
            <w:tcW w:w="2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17,745</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25,140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2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20" w:type="dxa"/>
            <w:vAlign w:val="bottom"/>
            <w:gridSpan w:val="2"/>
          </w:tcPr>
          <w:p>
            <w:pPr>
              <w:jc w:val="center"/>
              <w:ind w:left="2193"/>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current (Note 9)*</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Salary and welfare payables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3,070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4"/>
              </w:rPr>
              <w:t>Refundable deposits on GigaCloud Marketplace**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Professional fee accruals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refund liability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Obligations under the remorse protection program</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Prepaid consideration of restricted shares***</w:t>
            </w:r>
          </w:p>
        </w:tc>
        <w:tc>
          <w:tcPr>
            <w:tcW w:w="2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payables</w:t>
            </w:r>
          </w:p>
        </w:tc>
        <w:tc>
          <w:tcPr>
            <w:tcW w:w="2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Accrued Expenses and Other Current Liabilities</w:t>
            </w:r>
          </w:p>
        </w:tc>
        <w:tc>
          <w:tcPr>
            <w:tcW w:w="2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19,721</w:t>
            </w:r>
          </w:p>
        </w:tc>
        <w:tc>
          <w:tcPr>
            <w:tcW w:w="3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20" w:type="dxa"/>
            <w:vAlign w:val="bottom"/>
            <w:gridSpan w:val="2"/>
          </w:tcPr>
          <w:p>
            <w:pPr>
              <w:jc w:val="right"/>
              <w:ind w:right="2659"/>
              <w:spacing w:after="0"/>
              <w:rPr>
                <w:sz w:val="20"/>
                <w:szCs w:val="20"/>
                <w:color w:val="auto"/>
              </w:rPr>
            </w:pPr>
            <w:r>
              <w:rPr>
                <w:rFonts w:ascii="Arial" w:cs="Arial" w:eastAsia="Arial" w:hAnsi="Arial"/>
                <w:sz w:val="18"/>
                <w:szCs w:val="18"/>
                <w:color w:val="auto"/>
                <w:w w:val="97"/>
              </w:rPr>
              <w:t>F-68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540" w:right="40" w:hanging="424"/>
        <w:spacing w:after="0" w:line="277"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account caption of “Capital lease obligations” in the consolidated financial statement as of December 31, 2021 was changed to “Finance lease obligations, non-current” upon adoption of ASC 842.</w:t>
      </w:r>
    </w:p>
    <w:p>
      <w:pPr>
        <w:spacing w:after="0" w:line="197" w:lineRule="exact"/>
        <w:rPr>
          <w:sz w:val="20"/>
          <w:szCs w:val="20"/>
          <w:color w:val="auto"/>
        </w:rPr>
      </w:pPr>
    </w:p>
    <w:p>
      <w:pPr>
        <w:ind w:left="540" w:right="160" w:hanging="424"/>
        <w:spacing w:after="0" w:line="277"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Refundable deposits on GigaCloud Marketplace represent the balance of deposits from Buyers and Sellers which could be withdrawn or used for their future purchase of the Group’s services or merchandise on GigaCloud Marketplace.</w:t>
      </w:r>
    </w:p>
    <w:p>
      <w:pPr>
        <w:spacing w:after="0" w:line="197" w:lineRule="exact"/>
        <w:rPr>
          <w:rFonts w:ascii="Arial" w:cs="Arial" w:eastAsia="Arial" w:hAnsi="Arial"/>
          <w:sz w:val="18"/>
          <w:szCs w:val="18"/>
          <w:color w:val="auto"/>
        </w:rPr>
      </w:pPr>
    </w:p>
    <w:p>
      <w:pPr>
        <w:ind w:left="540" w:right="120" w:hanging="424"/>
        <w:spacing w:after="0" w:line="263"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stated in the Note 12, pursuant to the 2017 Share Incentive Plan, in February 2022, the board of directors resolved to grant 210,898 restricted shares to its employees and non-employee service providers. The prepayment of consideration that received by the Group before the achievement of exercise condition was recorded in accrued expenses and other current liabilities.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color w:val="auto"/>
        </w:rPr>
        <w:t>The Group leases office space, warehouse and equipment. Most of these leases are operating leases, the Group considers various factors such as market conditions and the terms of any renewal options that may exist to determine whether it will renew or replace the lease. In the event the Group is reasonably certain to exercise the option to extend a lease, the Group will include the extended terms in the operating lease right-of-use asset and operating lease liability. Certain warehouse storage shelves are leased under finance leases, which have a fixed lease term of three years from the lease commencement dates.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gross amounts of assets and liabilities related to both operating and finance leases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3"/>
          </w:tcPr>
          <w:p>
            <w:pPr>
              <w:ind w:left="1340"/>
              <w:spacing w:after="0"/>
              <w:rPr>
                <w:sz w:val="20"/>
                <w:szCs w:val="20"/>
                <w:color w:val="auto"/>
              </w:rPr>
            </w:pPr>
            <w:r>
              <w:rPr>
                <w:rFonts w:ascii="Arial" w:cs="Arial" w:eastAsia="Arial" w:hAnsi="Arial"/>
                <w:sz w:val="14"/>
                <w:szCs w:val="14"/>
                <w:b w:val="1"/>
                <w:bCs w:val="1"/>
                <w:color w:val="auto"/>
              </w:rPr>
              <w:t>Balance Sheet Caption</w:t>
            </w: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6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143,148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right-of-use assets</w:t>
            </w: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152,753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gridSpan w:val="3"/>
            <w:vMerge w:val="restart"/>
          </w:tcPr>
          <w:p>
            <w:pPr>
              <w:ind w:left="1500"/>
              <w:spacing w:after="0"/>
              <w:rPr>
                <w:sz w:val="20"/>
                <w:szCs w:val="20"/>
                <w:color w:val="auto"/>
              </w:rPr>
            </w:pPr>
            <w:r>
              <w:rPr>
                <w:rFonts w:ascii="Arial" w:cs="Arial" w:eastAsia="Arial" w:hAnsi="Arial"/>
                <w:sz w:val="14"/>
                <w:szCs w:val="14"/>
                <w:b w:val="1"/>
                <w:bCs w:val="1"/>
                <w:color w:val="auto"/>
              </w:rPr>
              <w:t>Balance Sheet Caption</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15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29,794</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Finance lease liabilities</w:t>
            </w:r>
          </w:p>
        </w:tc>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gridSpan w:val="5"/>
          </w:tcPr>
          <w:p>
            <w:pPr>
              <w:jc w:val="right"/>
              <w:ind w:right="34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Operating lease liabilities, non-current</w:t>
            </w:r>
          </w:p>
        </w:tc>
        <w:tc>
          <w:tcPr>
            <w:tcW w:w="1580" w:type="dxa"/>
            <w:vAlign w:val="bottom"/>
            <w:gridSpan w:val="5"/>
          </w:tcPr>
          <w:p>
            <w:pPr>
              <w:jc w:val="right"/>
              <w:ind w:right="340"/>
              <w:spacing w:after="0"/>
              <w:rPr>
                <w:sz w:val="20"/>
                <w:szCs w:val="20"/>
                <w:color w:val="auto"/>
              </w:rPr>
            </w:pPr>
            <w:r>
              <w:rPr>
                <w:rFonts w:ascii="Arial" w:cs="Arial" w:eastAsia="Arial" w:hAnsi="Arial"/>
                <w:sz w:val="18"/>
                <w:szCs w:val="18"/>
                <w:color w:val="auto"/>
              </w:rPr>
              <w:t>111,619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obligations, non-current</w:t>
            </w:r>
          </w:p>
        </w:tc>
        <w:tc>
          <w:tcPr>
            <w:tcW w:w="15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147,588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gridSpan w:val="3"/>
            <w:vMerge w:val="restart"/>
          </w:tcPr>
          <w:p>
            <w:pPr>
              <w:ind w:left="400"/>
              <w:spacing w:after="0"/>
              <w:rPr>
                <w:sz w:val="20"/>
                <w:szCs w:val="20"/>
                <w:color w:val="auto"/>
              </w:rPr>
            </w:pPr>
            <w:r>
              <w:rPr>
                <w:rFonts w:ascii="Arial" w:cs="Arial" w:eastAsia="Arial" w:hAnsi="Arial"/>
                <w:sz w:val="18"/>
                <w:szCs w:val="18"/>
                <w:color w:val="auto"/>
              </w:rPr>
              <w:t>F-69</w:t>
            </w: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lease cost were as follows: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220" w:type="dxa"/>
            <w:vAlign w:val="bottom"/>
            <w:gridSpan w:val="3"/>
          </w:tcPr>
          <w:p>
            <w:pPr>
              <w:jc w:val="center"/>
              <w:ind w:left="1694"/>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March 31, 2022</w:t>
            </w:r>
          </w:p>
        </w:tc>
      </w:tr>
      <w:tr>
        <w:trPr>
          <w:trHeight w:val="142"/>
        </w:trPr>
        <w:tc>
          <w:tcPr>
            <w:tcW w:w="4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Finance lease cost</w:t>
            </w: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9,044</w:t>
            </w:r>
          </w:p>
        </w:tc>
        <w:tc>
          <w:tcPr>
            <w:tcW w:w="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ASU 2016-02 requires that the companies use a secured incremental borrowing rate as the discount rate for present value of lease payments.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terms and discount rates are as follows:</w:t>
      </w:r>
    </w:p>
    <w:p>
      <w:pPr>
        <w:spacing w:after="0" w:line="22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 2022</w:t>
            </w: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 (years):</w:t>
            </w:r>
          </w:p>
        </w:tc>
        <w:tc>
          <w:tcPr>
            <w:tcW w:w="1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leases</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Finance leases</w:t>
            </w:r>
          </w:p>
        </w:tc>
        <w:tc>
          <w:tcPr>
            <w:tcW w:w="2720" w:type="dxa"/>
            <w:vAlign w:val="bottom"/>
            <w:gridSpan w:val="3"/>
          </w:tcPr>
          <w:p>
            <w:pPr>
              <w:jc w:val="right"/>
              <w:ind w:right="60"/>
              <w:spacing w:after="0"/>
              <w:rPr>
                <w:sz w:val="20"/>
                <w:szCs w:val="20"/>
                <w:color w:val="auto"/>
              </w:rPr>
            </w:pPr>
            <w:r>
              <w:rPr>
                <w:rFonts w:ascii="Arial" w:cs="Arial" w:eastAsia="Arial" w:hAnsi="Arial"/>
                <w:sz w:val="18"/>
                <w:szCs w:val="18"/>
                <w:color w:val="auto"/>
              </w:rPr>
              <w:t>11.37%</w:t>
            </w:r>
          </w:p>
        </w:tc>
      </w:tr>
    </w:tbl>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Future minimum lease payments as of March 31, 2022, including rental payments for lease renewal options the Group is reasonably certain to exercise were as follows: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8"/>
              </w:rPr>
              <w:t>Operating leases</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Finance leases</w:t>
            </w:r>
          </w:p>
        </w:tc>
      </w:tr>
      <w:tr>
        <w:trPr>
          <w:trHeight w:val="142"/>
        </w:trPr>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US$</w:t>
            </w:r>
          </w:p>
        </w:tc>
        <w:tc>
          <w:tcPr>
            <w:tcW w:w="900" w:type="dxa"/>
            <w:vAlign w:val="bottom"/>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30,252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gridSpan w:val="3"/>
          </w:tcPr>
          <w:p>
            <w:pPr>
              <w:jc w:val="right"/>
              <w:ind w:right="900"/>
              <w:spacing w:after="0"/>
              <w:rPr>
                <w:sz w:val="20"/>
                <w:szCs w:val="20"/>
                <w:color w:val="auto"/>
              </w:rPr>
            </w:pPr>
            <w:r>
              <w:rPr>
                <w:rFonts w:ascii="Arial" w:cs="Arial" w:eastAsia="Arial" w:hAnsi="Arial"/>
                <w:sz w:val="18"/>
                <w:szCs w:val="18"/>
                <w:color w:val="auto"/>
              </w:rPr>
              <w:t>29,279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2,734</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29,474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2025</w:t>
            </w:r>
          </w:p>
        </w:tc>
        <w:tc>
          <w:tcPr>
            <w:tcW w:w="2480" w:type="dxa"/>
            <w:vAlign w:val="bottom"/>
            <w:gridSpan w:val="3"/>
          </w:tcPr>
          <w:p>
            <w:pPr>
              <w:jc w:val="right"/>
              <w:ind w:right="900"/>
              <w:spacing w:after="0"/>
              <w:rPr>
                <w:sz w:val="20"/>
                <w:szCs w:val="20"/>
                <w:color w:val="auto"/>
              </w:rPr>
            </w:pPr>
            <w:r>
              <w:rPr>
                <w:rFonts w:ascii="Arial" w:cs="Arial" w:eastAsia="Arial" w:hAnsi="Arial"/>
                <w:sz w:val="18"/>
                <w:szCs w:val="18"/>
                <w:color w:val="auto"/>
              </w:rPr>
              <w:t>22,024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4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34,886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145,915</w:t>
            </w:r>
          </w:p>
        </w:tc>
        <w:tc>
          <w:tcPr>
            <w:tcW w:w="9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19"/>
                <w:szCs w:val="19"/>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4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(4,502)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Present value of lease liabilities</w:t>
            </w:r>
          </w:p>
        </w:tc>
        <w:tc>
          <w:tcPr>
            <w:tcW w:w="5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141,413</w:t>
            </w:r>
          </w:p>
        </w:tc>
        <w:tc>
          <w:tcPr>
            <w:tcW w:w="9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6,175</w:t>
            </w:r>
          </w:p>
        </w:tc>
        <w:tc>
          <w:tcPr>
            <w:tcW w:w="12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2480" w:type="dxa"/>
            <w:vAlign w:val="bottom"/>
            <w:gridSpan w:val="3"/>
          </w:tcPr>
          <w:p>
            <w:pPr>
              <w:jc w:val="right"/>
              <w:ind w:right="1880"/>
              <w:spacing w:after="0"/>
              <w:rPr>
                <w:sz w:val="20"/>
                <w:szCs w:val="20"/>
                <w:color w:val="auto"/>
              </w:rPr>
            </w:pPr>
            <w:r>
              <w:rPr>
                <w:rFonts w:ascii="Arial" w:cs="Arial" w:eastAsia="Arial" w:hAnsi="Arial"/>
                <w:sz w:val="18"/>
                <w:szCs w:val="18"/>
                <w:color w:val="auto"/>
              </w:rPr>
              <w:t>F-70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2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March 31, 2022</w:t>
            </w:r>
          </w:p>
        </w:tc>
      </w:tr>
      <w:tr>
        <w:trPr>
          <w:trHeight w:val="142"/>
        </w:trPr>
        <w:tc>
          <w:tcPr>
            <w:tcW w:w="2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4"/>
          </w:tcPr>
          <w:p>
            <w:pPr>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8,100</w:t>
            </w: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cash flows from finance leases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30"/>
        </w:trPr>
        <w:tc>
          <w:tcPr>
            <w:tcW w:w="7880" w:type="dxa"/>
            <w:vAlign w:val="bottom"/>
            <w:gridSpan w:val="4"/>
          </w:tcPr>
          <w:p>
            <w:pPr>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94"/>
        </w:trPr>
        <w:tc>
          <w:tcPr>
            <w:tcW w:w="2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2,102</w:t>
            </w: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2,719</w:t>
            </w:r>
          </w:p>
        </w:tc>
      </w:tr>
      <w:tr>
        <w:trPr>
          <w:trHeight w:val="432"/>
        </w:trPr>
        <w:tc>
          <w:tcPr>
            <w:tcW w:w="9620" w:type="dxa"/>
            <w:vAlign w:val="bottom"/>
            <w:gridSpan w:val="8"/>
          </w:tcPr>
          <w:p>
            <w:pPr>
              <w:ind w:left="880"/>
              <w:spacing w:after="0"/>
              <w:rPr>
                <w:sz w:val="20"/>
                <w:szCs w:val="20"/>
                <w:color w:val="auto"/>
              </w:rPr>
            </w:pPr>
            <w:r>
              <w:rPr>
                <w:rFonts w:ascii="Arial" w:cs="Arial" w:eastAsia="Arial" w:hAnsi="Arial"/>
                <w:sz w:val="18"/>
                <w:szCs w:val="18"/>
                <w:color w:val="auto"/>
              </w:rPr>
              <w:t>The approximate future minimum lease payments under operating leases as of December 31, 2021 follow:</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246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2021</w:t>
            </w: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460" w:type="dxa"/>
            <w:vAlign w:val="bottom"/>
          </w:tcPr>
          <w:p>
            <w:pPr>
              <w:spacing w:after="0"/>
              <w:rPr>
                <w:sz w:val="17"/>
                <w:szCs w:val="17"/>
                <w:color w:val="auto"/>
              </w:rPr>
            </w:pPr>
          </w:p>
        </w:tc>
        <w:tc>
          <w:tcPr>
            <w:tcW w:w="1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2022</w:t>
            </w:r>
          </w:p>
        </w:tc>
        <w:tc>
          <w:tcPr>
            <w:tcW w:w="2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31,054</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4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2023</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28,101</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24,543</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2025</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19,421</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14,914</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2027</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8,353</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2,637</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7880" w:type="dxa"/>
            <w:vAlign w:val="bottom"/>
            <w:gridSpan w:val="4"/>
          </w:tcPr>
          <w:p>
            <w:pPr>
              <w:ind w:left="880"/>
              <w:spacing w:after="0"/>
              <w:rPr>
                <w:sz w:val="20"/>
                <w:szCs w:val="20"/>
                <w:color w:val="auto"/>
              </w:rPr>
            </w:pPr>
            <w:r>
              <w:rPr>
                <w:rFonts w:ascii="Arial" w:cs="Arial" w:eastAsia="Arial" w:hAnsi="Arial"/>
                <w:sz w:val="18"/>
                <w:szCs w:val="18"/>
                <w:color w:val="auto"/>
                <w:w w:val="96"/>
              </w:rPr>
              <w:t>The Group’s capital lease obligations as of December 31, 2021 are summarized as follows: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760" w:type="dxa"/>
            <w:vAlign w:val="bottom"/>
            <w:gridSpan w:val="5"/>
          </w:tcPr>
          <w:p>
            <w:pPr>
              <w:jc w:val="center"/>
              <w:ind w:right="1200"/>
              <w:spacing w:after="0" w:line="119" w:lineRule="exact"/>
              <w:rPr>
                <w:sz w:val="20"/>
                <w:szCs w:val="20"/>
                <w:color w:val="auto"/>
              </w:rPr>
            </w:pPr>
            <w:r>
              <w:rPr>
                <w:rFonts w:ascii="Arial" w:cs="Arial" w:eastAsia="Arial" w:hAnsi="Arial"/>
                <w:sz w:val="13"/>
                <w:szCs w:val="13"/>
                <w:b w:val="1"/>
                <w:bCs w:val="1"/>
                <w:color w:val="auto"/>
                <w:w w:val="97"/>
              </w:rPr>
              <w:t>Present value of the</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Total minimum lease</w:t>
            </w:r>
          </w:p>
        </w:tc>
        <w:tc>
          <w:tcPr>
            <w:tcW w:w="120" w:type="dxa"/>
            <w:vAlign w:val="bottom"/>
            <w:gridSpan w:val="2"/>
          </w:tcPr>
          <w:p>
            <w:pPr>
              <w:spacing w:after="0"/>
              <w:rPr>
                <w:sz w:val="10"/>
                <w:szCs w:val="10"/>
                <w:color w:val="auto"/>
              </w:rPr>
            </w:pPr>
          </w:p>
        </w:tc>
      </w:tr>
      <w:tr>
        <w:trPr>
          <w:trHeight w:val="171"/>
        </w:trPr>
        <w:tc>
          <w:tcPr>
            <w:tcW w:w="2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760" w:type="dxa"/>
            <w:vAlign w:val="bottom"/>
            <w:gridSpan w:val="5"/>
          </w:tcPr>
          <w:p>
            <w:pPr>
              <w:jc w:val="center"/>
              <w:ind w:right="1200"/>
              <w:spacing w:after="0"/>
              <w:rPr>
                <w:sz w:val="20"/>
                <w:szCs w:val="20"/>
                <w:color w:val="auto"/>
              </w:rPr>
            </w:pPr>
            <w:r>
              <w:rPr>
                <w:rFonts w:ascii="Arial" w:cs="Arial" w:eastAsia="Arial" w:hAnsi="Arial"/>
                <w:sz w:val="14"/>
                <w:szCs w:val="14"/>
                <w:b w:val="1"/>
                <w:bCs w:val="1"/>
                <w:color w:val="auto"/>
                <w:w w:val="91"/>
              </w:rPr>
              <w:t>minimum lease payments</w:t>
            </w:r>
          </w:p>
        </w:tc>
        <w:tc>
          <w:tcPr>
            <w:tcW w:w="6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payments</w:t>
            </w:r>
          </w:p>
        </w:tc>
      </w:tr>
      <w:tr>
        <w:trPr>
          <w:trHeight w:val="142"/>
        </w:trPr>
        <w:tc>
          <w:tcPr>
            <w:tcW w:w="2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20" w:type="dxa"/>
            <w:vAlign w:val="bottom"/>
            <w:tcBorders>
              <w:top w:val="single" w:sz="8" w:color="auto"/>
            </w:tcBorders>
          </w:tcPr>
          <w:p>
            <w:pPr>
              <w:jc w:val="center"/>
              <w:ind w:left="450"/>
              <w:spacing w:after="0" w:line="142" w:lineRule="exact"/>
              <w:rPr>
                <w:sz w:val="20"/>
                <w:szCs w:val="20"/>
                <w:color w:val="auto"/>
              </w:rPr>
            </w:pPr>
            <w:r>
              <w:rPr>
                <w:rFonts w:ascii="Arial" w:cs="Arial" w:eastAsia="Arial" w:hAnsi="Arial"/>
                <w:sz w:val="14"/>
                <w:szCs w:val="14"/>
                <w:b w:val="1"/>
                <w:bCs w:val="1"/>
                <w:color w:val="auto"/>
                <w:w w:val="95"/>
              </w:rPr>
              <w:t>US$</w:t>
            </w: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gridSpan w:val="2"/>
          </w:tcPr>
          <w:p>
            <w:pPr>
              <w:spacing w:after="0"/>
              <w:rPr>
                <w:sz w:val="12"/>
                <w:szCs w:val="12"/>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Within 1 year</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2,724</w:t>
            </w: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4"/>
          </w:tcPr>
          <w:p>
            <w:pPr>
              <w:spacing w:after="0"/>
              <w:rPr>
                <w:sz w:val="20"/>
                <w:szCs w:val="20"/>
                <w:color w:val="auto"/>
              </w:rPr>
            </w:pPr>
            <w:r>
              <w:rPr>
                <w:rFonts w:ascii="Arial" w:cs="Arial" w:eastAsia="Arial" w:hAnsi="Arial"/>
                <w:sz w:val="18"/>
                <w:szCs w:val="18"/>
                <w:color w:val="auto"/>
              </w:rPr>
              <w:t>After 1 year but within 2 years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2,154</w:t>
            </w:r>
          </w:p>
        </w:tc>
        <w:tc>
          <w:tcPr>
            <w:tcW w:w="60" w:type="dxa"/>
            <w:vAlign w:val="bottom"/>
          </w:tcPr>
          <w:p>
            <w:pPr>
              <w:spacing w:after="0"/>
              <w:rPr>
                <w:sz w:val="18"/>
                <w:szCs w:val="18"/>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After 2 years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r>
      <w:tr>
        <w:trPr>
          <w:trHeight w:val="223"/>
        </w:trPr>
        <w:tc>
          <w:tcPr>
            <w:tcW w:w="2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5,214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total future interest expense</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color w:val="auto"/>
              </w:rPr>
              <w:t>Present value of lease obligations</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4,688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Including:</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4"/>
          </w:tcPr>
          <w:p>
            <w:pPr>
              <w:spacing w:after="0"/>
              <w:rPr>
                <w:sz w:val="20"/>
                <w:szCs w:val="20"/>
                <w:color w:val="auto"/>
              </w:rPr>
            </w:pPr>
            <w:r>
              <w:rPr>
                <w:rFonts w:ascii="Arial" w:cs="Arial" w:eastAsia="Arial" w:hAnsi="Arial"/>
                <w:sz w:val="18"/>
                <w:szCs w:val="18"/>
                <w:color w:val="auto"/>
              </w:rPr>
              <w:t>Current portion</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2,343</w:t>
            </w:r>
          </w:p>
        </w:tc>
        <w:tc>
          <w:tcPr>
            <w:tcW w:w="60" w:type="dxa"/>
            <w:vAlign w:val="bottom"/>
          </w:tcPr>
          <w:p>
            <w:pPr>
              <w:spacing w:after="0"/>
              <w:rPr>
                <w:sz w:val="18"/>
                <w:szCs w:val="18"/>
                <w:color w:val="auto"/>
              </w:rPr>
            </w:pPr>
          </w:p>
        </w:tc>
      </w:tr>
      <w:tr>
        <w:trPr>
          <w:trHeight w:val="216"/>
        </w:trPr>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2,345</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ORDINARY SHARES</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February 2022, the Company issued 26,738 ordinary shares to the Group’s former chief financial officer at the consideration of US$2. The former chief financial officer terminated his service in the Group in January 2022, the ordinary shares were granted as the compensation for his past service to the Group. Fair value of these shares was determined using the income approach and equity allocation method on the issuance date, and share-based compensation expenses of US$199 was recorded in general and administrative expenses in the unaudited condensed consolidated statement of comprehensive income for the three months ended March 31,</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2022. As of March 31, 2022, the Group had not received the consideration of these shares, and therefore recorded subscription receivable of US$2 in the unaudited condensed consolidated balance sheet.</w:t>
      </w:r>
    </w:p>
    <w:p>
      <w:pPr>
        <w:spacing w:after="0" w:line="170"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July 2021, the Company established Dongsi Tou Tiao Trust and Dongsi Er Tiao Trust, which are collectively referred to as the Equity Incentive Trusts, under their respective trust deeds dated in July 2021. Dongsi Tou Tiao Trust and Dongsi Er Tiao Trust controls and manages the British Virgin Islands incorporated entities, Dongsi Tou Tiao Limited and Dongsi Er Tiao Limited, respectively, which are collectively referred to as the Trust Holdcos. In February 2022, the Company issued 4,765,903 ordinary shares to the Trust Holdcos, for the purpose of issuing ordinary shares to the grantees upon the exercise of 210,898 restricted shares and 4,555,005 share options as disclosed in the Note 12. The ordinary shares issued to the Trust Holdcos are accounted for as treasury shares of the Company and presented as such for the three months ended March 31, 2022. The Trust Holdcos do not hold any other assets or liabilities as of March 31, 2022, nor earn any income nor incur any expenses for the period then ended.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PREFERRED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Series E Preferred Shares’ activities for the three months ended March 31, 2022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Series E Preferred Shares</w:t>
            </w: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2022</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Accretion of Preferred Shares</w:t>
            </w:r>
          </w:p>
        </w:tc>
        <w:tc>
          <w:tcPr>
            <w:tcW w:w="27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addition to the ordinary shares issued to the Group’s former chief financial officer in February 2022 as disclosed in the Note 10, in February 2022, the Group granted share options and restricted shares to certain employees and non-employee service provides. Details are specified as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options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Pursuant to the 2017 Share Incentive Plan, in February 2022, the board of directors resolved to grant 385,434 share options to its employees. The share options do not require a service condition, but can only be exercised upon the consummation of a qualified IPO before expiration date of ten years after the date of the awards. The completion of a qualified IPO is considered a performance condition of the share options, which is not considered being probable by management before it is completed. Under ASC 718, compensation cost should be recognized if it is probable that the performance condition will be achieved.</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activities of share options for the three months ended March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Weighted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remaining</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at</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options</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grant date</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years</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5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4,170,627</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0.05</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0.57</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385,434</w:t>
            </w:r>
          </w:p>
        </w:tc>
        <w:tc>
          <w:tcPr>
            <w:tcW w:w="52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0.05</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7.43</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4,556,061</w:t>
            </w: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0.05</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1.15</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4.94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5,239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0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F-72</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did not grant any share options for the three months ended March 31, 2021. The fair value of the share options granted during the three months ended March 31, 2022 is estimated on the date of the grants using the binomial model with the following assumptions used:</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 dates</w:t>
            </w:r>
          </w:p>
        </w:tc>
        <w:tc>
          <w:tcPr>
            <w:tcW w:w="2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404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2.20/2.80</w:t>
            </w: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Fair value of underlying ordinary share</w:t>
            </w:r>
          </w:p>
        </w:tc>
        <w:tc>
          <w:tcPr>
            <w:tcW w:w="25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US$7.5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terms</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r>
    </w:tbl>
    <w:p>
      <w:pPr>
        <w:spacing w:after="0" w:line="20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expected volatility was estimated based on the historical volatility of comparable peer public companies with a time horizon close to the expected term of the Group’s options. The risk-free interest rate was estimated based on the yield to maturity of U.S. treasury bonds denominated in US$ for a term consistent with the expected term of the Group’s options in effect at the option valuation date. Expected dividend yield is zero as the Group does not anticipate any dividend payments in the foreseeable future. The expected exercise multiple was estimated as the average ratio of the stock price to the exercise price of when employees would decide to voluntarily exercise their vested options. Expected term is the contract life of the option.</w:t>
      </w:r>
    </w:p>
    <w:p>
      <w:pPr>
        <w:spacing w:after="0" w:line="19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As of March 31, 2022, unrecognized compensation of US$9,811 relating to the share options is expected to be recognized cumulatively upon the consummation of a qualified IPO, as such share options will be vested and become exercisable upon the consummation of a qualified IPO. The unrecognized compensation cost may be adjusted for actual forfeitures occurring in the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In addition to the share options, at the same time, the board of directors also resolved to grant 205,708 and 5,190 restricted shares to its employees and non-employee service providers, respectively. The grantees of the restricted shares shall pay in full of the consideration within 45 days at the exercise price of US$7.48 per share after the grant date of such restricted shares; otherwise, the Company shall be entitled to cancel the grant. The grantees are subject to the service condition of three years’ continuous service since their service commencement in the Group; upon the grantee’s early service termination, the Company shall have the right (but not the obligation) to repurchase all or any portion of the shares in cash, at the amount of the original purchase price actually paid by the grantee for such restricted shares.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restricted shares will immediately be released from restrictions upon the satisfaction of both (1) completion of a qualified IPO, and</w:t>
      </w:r>
    </w:p>
    <w:p>
      <w:pPr>
        <w:spacing w:after="0" w:line="35" w:lineRule="exact"/>
        <w:rPr>
          <w:sz w:val="20"/>
          <w:szCs w:val="20"/>
          <w:color w:val="auto"/>
        </w:rPr>
      </w:pPr>
    </w:p>
    <w:p>
      <w:pPr>
        <w:ind w:left="120" w:right="120" w:hanging="4"/>
        <w:spacing w:after="0" w:line="260" w:lineRule="auto"/>
        <w:tabs>
          <w:tab w:leader="none" w:pos="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completion of the grantees three years’ continuous service since their service commencement in the Group. When both criteria are achieved, the grantees are entitled to cliff and cumulatively vest the total grants.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Company’s restricted shares for the three months ended March 31, 2022 is presented below:</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9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3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210,898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0.0015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Outstanding at March 31, 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210,898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0.0015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40" w:firstLine="881"/>
        <w:spacing w:after="0" w:line="286" w:lineRule="auto"/>
        <w:rPr>
          <w:sz w:val="20"/>
          <w:szCs w:val="20"/>
          <w:color w:val="auto"/>
        </w:rPr>
      </w:pPr>
      <w:r>
        <w:rPr>
          <w:rFonts w:ascii="Arial" w:cs="Arial" w:eastAsia="Arial" w:hAnsi="Arial"/>
          <w:sz w:val="17"/>
          <w:szCs w:val="17"/>
          <w:color w:val="auto"/>
        </w:rPr>
        <w:t>As of March 31, 2022, unrecognized compensation expenses with trivial amount relating to the restricted shares is expected to be recognized cumulatively when grantees cliff vest such restricted shares upon the satisfaction of the service condition and the consummation of a qualified IPO. The unrecognized compensation cost may be adjusted for actual forfeitures occurring in the future.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INCOME TAX</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statutory income tax rate for the Company’s PRC subsidiaries and VIE is 25% for the three months ended March 31, 2021 and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income tax rate for the three months ended March 31, 2021 and 2022 was 20% and 25%, respectively.</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effective income tax rate for the three months ended March 31, 2021 and 2022 differs from the PRC statutory income tax rate of 25%, primarily due to the effect of tax rate differences for non-PRC entities and the preferential tax rate of 15% relating to OS Suzhou, which qualifies as Advanced Technology Service Enterprise (“ATSE”).</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Further, as the profits derived by GigaCloud Technology (HongKong) Limited (“Giga HK”, formerly known as Giga Cloud Logistics (Hong Kong) Limited) were entirely treated as offshore sourced and not subject to Hong Kong S.A.R profit tax but recognized as taxable income of OS Suzhou in the PRC, which also led to the differences between the effective income tax rate and the PRC statutory income tax rate of 25%.</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The following table sets forth the basic and diluted net income per ordinary share computation and provides a reconciliation of the numerator and denominator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80" w:type="dxa"/>
            <w:vAlign w:val="bottom"/>
            <w:tcBorders>
              <w:top w:val="single" w:sz="8" w:color="auto"/>
            </w:tcBorders>
          </w:tcPr>
          <w:p>
            <w:pPr>
              <w:jc w:val="right"/>
              <w:ind w:right="223"/>
              <w:spacing w:after="0" w:line="119"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7,983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preferred shareholders</w:t>
            </w:r>
          </w:p>
        </w:tc>
        <w:tc>
          <w:tcPr>
            <w:tcW w:w="4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(5,275)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Accretion of Series E Preferred Shares</w:t>
            </w:r>
          </w:p>
        </w:tc>
        <w:tc>
          <w:tcPr>
            <w:tcW w:w="35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ordinary share calculation</w:t>
            </w:r>
          </w:p>
        </w:tc>
        <w:tc>
          <w:tcPr>
            <w:tcW w:w="35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shares—basic and diluted</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9,495,844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12,999,986</w:t>
            </w: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Arial" w:cs="Arial" w:eastAsia="Arial" w:hAnsi="Arial"/>
                <w:sz w:val="18"/>
                <w:szCs w:val="18"/>
                <w:b w:val="1"/>
                <w:bCs w:val="1"/>
                <w:color w:val="auto"/>
                <w:w w:val="91"/>
              </w:rPr>
              <w:t>Net income per ordinary share attributable to ordinary shareholders</w:t>
            </w:r>
          </w:p>
        </w:tc>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 and diluted</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64"/>
        </w:trPr>
        <w:tc>
          <w:tcPr>
            <w:tcW w:w="5300" w:type="dxa"/>
            <w:vAlign w:val="bottom"/>
          </w:tcPr>
          <w:p>
            <w:pPr>
              <w:spacing w:after="0"/>
              <w:rPr>
                <w:sz w:val="24"/>
                <w:szCs w:val="24"/>
                <w:color w:val="auto"/>
              </w:rPr>
            </w:pPr>
          </w:p>
        </w:tc>
        <w:tc>
          <w:tcPr>
            <w:tcW w:w="4600" w:type="dxa"/>
            <w:vAlign w:val="bottom"/>
            <w:gridSpan w:val="3"/>
          </w:tcPr>
          <w:p>
            <w:pPr>
              <w:jc w:val="right"/>
              <w:ind w:right="4220"/>
              <w:spacing w:after="0"/>
              <w:rPr>
                <w:sz w:val="20"/>
                <w:szCs w:val="20"/>
                <w:color w:val="auto"/>
              </w:rPr>
            </w:pPr>
            <w:r>
              <w:rPr>
                <w:rFonts w:ascii="Arial" w:cs="Arial" w:eastAsia="Arial" w:hAnsi="Arial"/>
                <w:sz w:val="18"/>
                <w:szCs w:val="18"/>
                <w:color w:val="auto"/>
                <w:w w:val="97"/>
              </w:rPr>
              <w:t>F-74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right="860" w:firstLine="881"/>
        <w:spacing w:after="0" w:line="308" w:lineRule="auto"/>
        <w:rPr>
          <w:sz w:val="20"/>
          <w:szCs w:val="20"/>
          <w:color w:val="auto"/>
        </w:rPr>
      </w:pPr>
      <w:r>
        <w:rPr>
          <w:rFonts w:ascii="Arial" w:cs="Arial" w:eastAsia="Arial" w:hAnsi="Arial"/>
          <w:sz w:val="17"/>
          <w:szCs w:val="17"/>
          <w:color w:val="auto"/>
        </w:rPr>
        <w:t>The ordinary shares issued to the former chief financial officer and the Trust Holdcos as disclosed in the Note 10 are included in determining weighted average number of ordinary shares, as they are entitled to dividend right as ordinary shareholders.</w:t>
      </w:r>
    </w:p>
    <w:p>
      <w:pPr>
        <w:spacing w:after="0" w:line="14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For the three months ended March 31, 2021 and 2022, restricted shares and share options, including vested or nonvested, are not included in the calculation of basic or diluted earnings per share, as the issuance of such awards is contingent upon a qualified IPO within expiration period, which was not satisfied by the respective period end.</w:t>
      </w:r>
    </w:p>
    <w:p>
      <w:pPr>
        <w:spacing w:after="0" w:line="184"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For the three months ended March 31, 2020 and 2021, the Preferred Shares were excluded from the calculation of diluted earnings per ordinary share as their inclusion would have been anti-dilutive.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REVENUES</w:t>
      </w:r>
    </w:p>
    <w:p>
      <w:pPr>
        <w:spacing w:after="0" w:line="229"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The Group’s revenues are disaggregated by major products/service lines and timing of revenue recognition. Detailed information is specified as follows:</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Major products/services lines</w:t>
            </w:r>
          </w:p>
        </w:tc>
        <w:tc>
          <w:tcPr>
            <w:tcW w:w="264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5"/>
        </w:trPr>
        <w:tc>
          <w:tcPr>
            <w:tcW w:w="5300" w:type="dxa"/>
            <w:vAlign w:val="bottom"/>
            <w:gridSpan w:val="4"/>
            <w:vMerge w:val="continue"/>
          </w:tcPr>
          <w:p>
            <w:pPr>
              <w:spacing w:after="0"/>
              <w:rPr>
                <w:sz w:val="11"/>
                <w:szCs w:val="11"/>
                <w:color w:val="auto"/>
              </w:rPr>
            </w:pPr>
          </w:p>
        </w:tc>
        <w:tc>
          <w:tcPr>
            <w:tcW w:w="82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2021</w:t>
            </w:r>
          </w:p>
        </w:tc>
        <w:tc>
          <w:tcPr>
            <w:tcW w:w="1760" w:type="dxa"/>
            <w:vAlign w:val="bottom"/>
            <w:tcBorders>
              <w:top w:val="single" w:sz="8" w:color="auto"/>
            </w:tcBorders>
            <w:gridSpan w:val="2"/>
          </w:tcPr>
          <w:p>
            <w:pPr>
              <w:ind w:left="1120"/>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US$</w:t>
            </w:r>
          </w:p>
        </w:tc>
        <w:tc>
          <w:tcPr>
            <w:tcW w:w="800" w:type="dxa"/>
            <w:vAlign w:val="bottom"/>
          </w:tcPr>
          <w:p>
            <w:pPr>
              <w:spacing w:after="0"/>
              <w:rPr>
                <w:sz w:val="12"/>
                <w:szCs w:val="12"/>
                <w:color w:val="auto"/>
              </w:rPr>
            </w:pPr>
          </w:p>
        </w:tc>
        <w:tc>
          <w:tcPr>
            <w:tcW w:w="960" w:type="dxa"/>
            <w:vAlign w:val="bottom"/>
            <w:tcBorders>
              <w:top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Service revenues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GigaCloud 3P</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20,418</w:t>
            </w:r>
          </w:p>
        </w:tc>
        <w:tc>
          <w:tcPr>
            <w:tcW w:w="8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service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Product revenues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Product sales to 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11,575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i w:val="1"/>
                <w:iCs w:val="1"/>
                <w:color w:val="auto"/>
              </w:rPr>
              <w:t>Product sales to C</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20,276</w:t>
            </w:r>
          </w:p>
        </w:tc>
        <w:tc>
          <w:tcPr>
            <w:tcW w:w="8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Off-platform ecommerce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GigaCloud 1P</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42,259</w:t>
            </w:r>
          </w:p>
        </w:tc>
        <w:tc>
          <w:tcPr>
            <w:tcW w:w="8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product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94,528</w:t>
            </w: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Timing of revenue recognition</w:t>
            </w:r>
          </w:p>
        </w:tc>
        <w:tc>
          <w:tcPr>
            <w:tcW w:w="264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6"/>
        </w:trPr>
        <w:tc>
          <w:tcPr>
            <w:tcW w:w="5300" w:type="dxa"/>
            <w:vAlign w:val="bottom"/>
            <w:gridSpan w:val="4"/>
            <w:vMerge w:val="continue"/>
          </w:tcPr>
          <w:p>
            <w:pPr>
              <w:spacing w:after="0"/>
              <w:rPr>
                <w:sz w:val="11"/>
                <w:szCs w:val="11"/>
                <w:color w:val="auto"/>
              </w:rPr>
            </w:pPr>
          </w:p>
        </w:tc>
        <w:tc>
          <w:tcPr>
            <w:tcW w:w="820" w:type="dxa"/>
            <w:vAlign w:val="bottom"/>
            <w:tcBorders>
              <w:top w:val="single" w:sz="8" w:color="auto"/>
            </w:tcBorders>
          </w:tcPr>
          <w:p>
            <w:pPr>
              <w:ind w:left="260"/>
              <w:spacing w:after="0" w:line="129" w:lineRule="exact"/>
              <w:rPr>
                <w:sz w:val="20"/>
                <w:szCs w:val="20"/>
                <w:color w:val="auto"/>
              </w:rPr>
            </w:pPr>
            <w:r>
              <w:rPr>
                <w:rFonts w:ascii="Arial" w:cs="Arial" w:eastAsia="Arial" w:hAnsi="Arial"/>
                <w:sz w:val="14"/>
                <w:szCs w:val="14"/>
                <w:b w:val="1"/>
                <w:bCs w:val="1"/>
                <w:color w:val="auto"/>
              </w:rPr>
              <w:t>2021</w:t>
            </w:r>
          </w:p>
        </w:tc>
        <w:tc>
          <w:tcPr>
            <w:tcW w:w="1760" w:type="dxa"/>
            <w:vAlign w:val="bottom"/>
            <w:tcBorders>
              <w:top w:val="single" w:sz="8" w:color="auto"/>
            </w:tcBorders>
            <w:gridSpan w:val="2"/>
          </w:tcPr>
          <w:p>
            <w:pPr>
              <w:ind w:left="1120"/>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US$</w:t>
            </w:r>
          </w:p>
        </w:tc>
        <w:tc>
          <w:tcPr>
            <w:tcW w:w="800" w:type="dxa"/>
            <w:vAlign w:val="bottom"/>
          </w:tcPr>
          <w:p>
            <w:pPr>
              <w:spacing w:after="0"/>
              <w:rPr>
                <w:sz w:val="12"/>
                <w:szCs w:val="12"/>
                <w:color w:val="auto"/>
              </w:rPr>
            </w:pPr>
          </w:p>
        </w:tc>
        <w:tc>
          <w:tcPr>
            <w:tcW w:w="960" w:type="dxa"/>
            <w:vAlign w:val="bottom"/>
            <w:tcBorders>
              <w:top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Revenue from goods or services transferred to customers over</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gridSpan w:val="3"/>
          </w:tcPr>
          <w:p>
            <w:pPr>
              <w:spacing w:after="0" w:line="201" w:lineRule="exact"/>
              <w:rPr>
                <w:sz w:val="20"/>
                <w:szCs w:val="20"/>
                <w:color w:val="auto"/>
              </w:rPr>
            </w:pPr>
            <w:r>
              <w:rPr>
                <w:rFonts w:ascii="Arial" w:cs="Arial" w:eastAsia="Arial" w:hAnsi="Arial"/>
                <w:sz w:val="18"/>
                <w:szCs w:val="18"/>
                <w:color w:val="auto"/>
              </w:rPr>
              <w:t>Revenue from goods or services transferred to customers at a</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gridSpan w:val="3"/>
          </w:tcPr>
          <w:p>
            <w:pPr>
              <w:ind w:left="160"/>
              <w:spacing w:after="0"/>
              <w:rPr>
                <w:sz w:val="20"/>
                <w:szCs w:val="20"/>
                <w:color w:val="auto"/>
              </w:rPr>
            </w:pPr>
            <w:r>
              <w:rPr>
                <w:rFonts w:ascii="Arial" w:cs="Arial" w:eastAsia="Arial" w:hAnsi="Arial"/>
                <w:sz w:val="18"/>
                <w:szCs w:val="18"/>
                <w:color w:val="auto"/>
              </w:rPr>
              <w:t>point in time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77,636</w:t>
            </w:r>
          </w:p>
        </w:tc>
        <w:tc>
          <w:tcPr>
            <w:tcW w:w="8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vMerge w:val="restart"/>
          </w:tcPr>
          <w:p>
            <w:pPr>
              <w:ind w:left="1920"/>
              <w:spacing w:after="0"/>
              <w:rPr>
                <w:sz w:val="20"/>
                <w:szCs w:val="20"/>
                <w:color w:val="auto"/>
              </w:rPr>
            </w:pPr>
            <w:r>
              <w:rPr>
                <w:rFonts w:ascii="Arial" w:cs="Arial" w:eastAsia="Arial" w:hAnsi="Arial"/>
                <w:sz w:val="18"/>
                <w:szCs w:val="18"/>
                <w:color w:val="auto"/>
              </w:rPr>
              <w:t>F-75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contract liabilities balances for the three months ended March 31, 2021 and 2022 are as follows: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7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84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US$</w:t>
            </w:r>
          </w:p>
        </w:tc>
        <w:tc>
          <w:tcPr>
            <w:tcW w:w="88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8"/>
                <w:szCs w:val="18"/>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rPr>
              <w:t>Revenue recognized from opening balance of contract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(3,424)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(3,690)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cash received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45,160</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Revenue recognized from cash received during the period</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(37,864)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(55,273)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Balance at end of the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7,130</w:t>
            </w:r>
          </w:p>
        </w:tc>
        <w:tc>
          <w:tcPr>
            <w:tcW w:w="8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Group’s lease commitments are disclosed in Note 9. In addition, the Group’s long-term obligations include long-term borrowings, of which the expected repayment schedule has been disclosed in Note 6.</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for those, the Group did not have any other commitments or long-term obligations as of March 31, 2022.</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0860"/>
          </w:cols>
          <w:pgMar w:left="320" w:top="459" w:right="71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CHANGES IN SHAREHOLDERS’ EQUITY</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Subscription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receivable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ordinary</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Retained</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shareholders’</w:t>
            </w:r>
          </w:p>
        </w:tc>
      </w:tr>
      <w:tr>
        <w:trPr>
          <w:trHeight w:val="153"/>
        </w:trPr>
        <w:tc>
          <w:tcPr>
            <w:tcW w:w="26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2"/>
              </w:rPr>
              <w:t>Note</w:t>
            </w: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Ordinary shares</w:t>
            </w:r>
          </w:p>
        </w:tc>
        <w:tc>
          <w:tcPr>
            <w:tcW w:w="120" w:type="dxa"/>
            <w:vAlign w:val="bottom"/>
          </w:tcPr>
          <w:p>
            <w:pPr>
              <w:spacing w:after="0"/>
              <w:rPr>
                <w:sz w:val="13"/>
                <w:szCs w:val="13"/>
                <w:color w:val="auto"/>
              </w:rPr>
            </w:pPr>
          </w:p>
        </w:tc>
        <w:tc>
          <w:tcPr>
            <w:tcW w:w="1320" w:type="dxa"/>
            <w:vAlign w:val="bottom"/>
            <w:gridSpan w:val="4"/>
          </w:tcPr>
          <w:p>
            <w:pPr>
              <w:ind w:left="140"/>
              <w:spacing w:after="0"/>
              <w:rPr>
                <w:sz w:val="20"/>
                <w:szCs w:val="20"/>
                <w:color w:val="auto"/>
              </w:rPr>
            </w:pPr>
            <w:r>
              <w:rPr>
                <w:rFonts w:ascii="Arial" w:cs="Arial" w:eastAsia="Arial" w:hAnsi="Arial"/>
                <w:sz w:val="13"/>
                <w:szCs w:val="13"/>
                <w:b w:val="1"/>
                <w:bCs w:val="1"/>
                <w:color w:val="auto"/>
              </w:rPr>
              <w:t>Treasury shares</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Preferred shares</w:t>
            </w: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earnings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r>
      <w:tr>
        <w:trPr>
          <w:trHeight w:val="114"/>
        </w:trPr>
        <w:tc>
          <w:tcPr>
            <w:tcW w:w="26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gridSpan w:val="2"/>
          </w:tcPr>
          <w:p>
            <w:pPr>
              <w:jc w:val="center"/>
              <w:ind w:right="120"/>
              <w:spacing w:after="0" w:line="114" w:lineRule="exact"/>
              <w:rPr>
                <w:sz w:val="20"/>
                <w:szCs w:val="20"/>
                <w:color w:val="auto"/>
              </w:rPr>
            </w:pPr>
            <w:r>
              <w:rPr>
                <w:rFonts w:ascii="Arial" w:cs="Arial" w:eastAsia="Arial" w:hAnsi="Arial"/>
                <w:sz w:val="13"/>
                <w:szCs w:val="13"/>
                <w:color w:val="auto"/>
                <w:w w:val="88"/>
              </w:rPr>
              <w:t>Number of</w:t>
            </w: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Number of</w:t>
            </w: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Number of</w:t>
            </w: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ordinary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ordinary</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preferred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76"/>
              </w:rPr>
              <w:t>shares</w:t>
            </w:r>
          </w:p>
        </w:tc>
        <w:tc>
          <w:tcPr>
            <w:tcW w:w="280" w:type="dxa"/>
            <w:vAlign w:val="bottom"/>
          </w:tcPr>
          <w:p>
            <w:pPr>
              <w:ind w:left="20"/>
              <w:spacing w:after="0"/>
              <w:rPr>
                <w:sz w:val="20"/>
                <w:szCs w:val="20"/>
                <w:color w:val="auto"/>
              </w:rPr>
            </w:pPr>
            <w:r>
              <w:rPr>
                <w:rFonts w:ascii="Arial" w:cs="Arial" w:eastAsia="Arial" w:hAnsi="Arial"/>
                <w:sz w:val="13"/>
                <w:szCs w:val="13"/>
                <w:color w:val="auto"/>
                <w:w w:val="94"/>
              </w:rPr>
              <w:t>US$</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1"/>
              </w:rPr>
              <w:t>shares</w:t>
            </w:r>
          </w:p>
        </w:tc>
        <w:tc>
          <w:tcPr>
            <w:tcW w:w="120" w:type="dxa"/>
            <w:vAlign w:val="bottom"/>
          </w:tcPr>
          <w:p>
            <w:pPr>
              <w:spacing w:after="0"/>
              <w:rPr>
                <w:sz w:val="12"/>
                <w:szCs w:val="1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US$</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w w:val="86"/>
              </w:rPr>
              <w:t>US$</w:t>
            </w:r>
          </w:p>
        </w:tc>
        <w:tc>
          <w:tcPr>
            <w:tcW w:w="780" w:type="dxa"/>
            <w:vAlign w:val="bottom"/>
          </w:tcPr>
          <w:p>
            <w:pPr>
              <w:jc w:val="center"/>
              <w:spacing w:after="0"/>
              <w:rPr>
                <w:sz w:val="20"/>
                <w:szCs w:val="20"/>
                <w:color w:val="auto"/>
              </w:rPr>
            </w:pPr>
            <w:r>
              <w:rPr>
                <w:rFonts w:ascii="Arial" w:cs="Arial" w:eastAsia="Arial" w:hAnsi="Arial"/>
                <w:sz w:val="13"/>
                <w:szCs w:val="13"/>
                <w:color w:val="auto"/>
                <w:w w:val="81"/>
              </w:rPr>
              <w:t>shares</w:t>
            </w:r>
          </w:p>
        </w:tc>
        <w:tc>
          <w:tcPr>
            <w:tcW w:w="12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w w:val="86"/>
              </w:rPr>
              <w:t>US$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US$</w:t>
            </w:r>
          </w:p>
        </w:tc>
        <w:tc>
          <w:tcPr>
            <w:tcW w:w="12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US$</w:t>
            </w:r>
          </w:p>
        </w:tc>
        <w:tc>
          <w:tcPr>
            <w:tcW w:w="66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US$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(restated)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9,495,844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2"/>
              </w:rPr>
              <w:t>475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17,428,266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2"/>
              </w:rPr>
              <w:t>872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27,758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(288)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32,802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61,619</w:t>
            </w:r>
          </w:p>
        </w:tc>
        <w:tc>
          <w:tcPr>
            <w:tcW w:w="100" w:type="dxa"/>
            <w:vAlign w:val="bottom"/>
            <w:shd w:val="clear" w:color="auto" w:fill="CCEEFF"/>
          </w:tcPr>
          <w:p>
            <w:pPr>
              <w:spacing w:after="0"/>
              <w:rPr>
                <w:sz w:val="18"/>
                <w:szCs w:val="18"/>
                <w:color w:val="auto"/>
              </w:rPr>
            </w:pP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Net Income (restated)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7,983</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7,983</w:t>
            </w: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w w:val="95"/>
              </w:rPr>
              <w:t>Accretion of Series E Preferred Shares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900" w:type="dxa"/>
            <w:vAlign w:val="bottom"/>
            <w:gridSpan w:val="2"/>
            <w:shd w:val="clear" w:color="auto" w:fill="CCEEFF"/>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(370)</w:t>
            </w:r>
          </w:p>
        </w:tc>
      </w:tr>
      <w:tr>
        <w:trPr>
          <w:trHeight w:val="193"/>
        </w:trPr>
        <w:tc>
          <w:tcPr>
            <w:tcW w:w="26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2660" w:type="dxa"/>
            <w:vAlign w:val="bottom"/>
          </w:tcPr>
          <w:p>
            <w:pPr>
              <w:ind w:left="160"/>
              <w:spacing w:after="0"/>
              <w:rPr>
                <w:sz w:val="20"/>
                <w:szCs w:val="20"/>
                <w:color w:val="auto"/>
              </w:rPr>
            </w:pPr>
            <w:r>
              <w:rPr>
                <w:rFonts w:ascii="Arial" w:cs="Arial" w:eastAsia="Arial" w:hAnsi="Arial"/>
                <w:sz w:val="16"/>
                <w:szCs w:val="16"/>
                <w:color w:val="auto"/>
              </w:rPr>
              <w:t>adjustment, net of nil income taxes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(35)</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r>
      <w:tr>
        <w:trPr>
          <w:trHeight w:val="189"/>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(restated)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9,495,844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2"/>
              </w:rPr>
              <w:t>475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17,428,266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2"/>
              </w:rPr>
              <w:t>872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(323)</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40,415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69,197</w:t>
            </w:r>
          </w:p>
        </w:tc>
        <w:tc>
          <w:tcPr>
            <w:tcW w:w="100" w:type="dxa"/>
            <w:vAlign w:val="bottom"/>
            <w:shd w:val="clear" w:color="auto" w:fill="CCEEFF"/>
          </w:tcPr>
          <w:p>
            <w:pPr>
              <w:spacing w:after="0"/>
              <w:rPr>
                <w:sz w:val="18"/>
                <w:szCs w:val="18"/>
                <w:color w:val="auto"/>
              </w:rPr>
            </w:pPr>
          </w:p>
        </w:tc>
      </w:tr>
      <w:tr>
        <w:trPr>
          <w:trHeight w:val="343"/>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Subscription</w:t>
            </w: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receivable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ordinary</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Retained</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shareholders’</w:t>
            </w:r>
          </w:p>
        </w:tc>
      </w:tr>
      <w:tr>
        <w:trPr>
          <w:trHeight w:val="153"/>
        </w:trPr>
        <w:tc>
          <w:tcPr>
            <w:tcW w:w="26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2"/>
              </w:rPr>
              <w:t>Note</w:t>
            </w: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Ordinary shares</w:t>
            </w:r>
          </w:p>
        </w:tc>
        <w:tc>
          <w:tcPr>
            <w:tcW w:w="120" w:type="dxa"/>
            <w:vAlign w:val="bottom"/>
          </w:tcPr>
          <w:p>
            <w:pPr>
              <w:spacing w:after="0"/>
              <w:rPr>
                <w:sz w:val="13"/>
                <w:szCs w:val="13"/>
                <w:color w:val="auto"/>
              </w:rPr>
            </w:pPr>
          </w:p>
        </w:tc>
        <w:tc>
          <w:tcPr>
            <w:tcW w:w="1320" w:type="dxa"/>
            <w:vAlign w:val="bottom"/>
            <w:gridSpan w:val="4"/>
          </w:tcPr>
          <w:p>
            <w:pPr>
              <w:ind w:left="140"/>
              <w:spacing w:after="0"/>
              <w:rPr>
                <w:sz w:val="20"/>
                <w:szCs w:val="20"/>
                <w:color w:val="auto"/>
              </w:rPr>
            </w:pPr>
            <w:r>
              <w:rPr>
                <w:rFonts w:ascii="Arial" w:cs="Arial" w:eastAsia="Arial" w:hAnsi="Arial"/>
                <w:sz w:val="13"/>
                <w:szCs w:val="13"/>
                <w:b w:val="1"/>
                <w:bCs w:val="1"/>
                <w:color w:val="auto"/>
              </w:rPr>
              <w:t>Treasury shares</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Preferred shares</w:t>
            </w: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6"/>
              </w:rPr>
              <w:t>loss</w:t>
            </w: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earnings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equity</w:t>
            </w:r>
          </w:p>
        </w:tc>
      </w:tr>
      <w:tr>
        <w:trPr>
          <w:trHeight w:val="114"/>
        </w:trPr>
        <w:tc>
          <w:tcPr>
            <w:tcW w:w="26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gridSpan w:val="2"/>
          </w:tcPr>
          <w:p>
            <w:pPr>
              <w:jc w:val="center"/>
              <w:ind w:right="120"/>
              <w:spacing w:after="0" w:line="114" w:lineRule="exact"/>
              <w:rPr>
                <w:sz w:val="20"/>
                <w:szCs w:val="20"/>
                <w:color w:val="auto"/>
              </w:rPr>
            </w:pPr>
            <w:r>
              <w:rPr>
                <w:rFonts w:ascii="Arial" w:cs="Arial" w:eastAsia="Arial" w:hAnsi="Arial"/>
                <w:sz w:val="13"/>
                <w:szCs w:val="13"/>
                <w:color w:val="auto"/>
                <w:w w:val="88"/>
              </w:rPr>
              <w:t>Number of</w:t>
            </w: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Number of</w:t>
            </w: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Number of</w:t>
            </w: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ordinary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ordinary</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preferred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76"/>
              </w:rPr>
              <w:t>shares</w:t>
            </w:r>
          </w:p>
        </w:tc>
        <w:tc>
          <w:tcPr>
            <w:tcW w:w="280" w:type="dxa"/>
            <w:vAlign w:val="bottom"/>
          </w:tcPr>
          <w:p>
            <w:pPr>
              <w:ind w:left="20"/>
              <w:spacing w:after="0"/>
              <w:rPr>
                <w:sz w:val="20"/>
                <w:szCs w:val="20"/>
                <w:color w:val="auto"/>
              </w:rPr>
            </w:pPr>
            <w:r>
              <w:rPr>
                <w:rFonts w:ascii="Arial" w:cs="Arial" w:eastAsia="Arial" w:hAnsi="Arial"/>
                <w:sz w:val="13"/>
                <w:szCs w:val="13"/>
                <w:color w:val="auto"/>
                <w:w w:val="94"/>
              </w:rPr>
              <w:t>US$</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1"/>
              </w:rPr>
              <w:t>shares</w:t>
            </w:r>
          </w:p>
        </w:tc>
        <w:tc>
          <w:tcPr>
            <w:tcW w:w="120" w:type="dxa"/>
            <w:vAlign w:val="bottom"/>
          </w:tcPr>
          <w:p>
            <w:pPr>
              <w:spacing w:after="0"/>
              <w:rPr>
                <w:sz w:val="12"/>
                <w:szCs w:val="1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US$</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w w:val="86"/>
              </w:rPr>
              <w:t>US$</w:t>
            </w:r>
          </w:p>
        </w:tc>
        <w:tc>
          <w:tcPr>
            <w:tcW w:w="780" w:type="dxa"/>
            <w:vAlign w:val="bottom"/>
          </w:tcPr>
          <w:p>
            <w:pPr>
              <w:jc w:val="center"/>
              <w:spacing w:after="0"/>
              <w:rPr>
                <w:sz w:val="20"/>
                <w:szCs w:val="20"/>
                <w:color w:val="auto"/>
              </w:rPr>
            </w:pPr>
            <w:r>
              <w:rPr>
                <w:rFonts w:ascii="Arial" w:cs="Arial" w:eastAsia="Arial" w:hAnsi="Arial"/>
                <w:sz w:val="13"/>
                <w:szCs w:val="13"/>
                <w:color w:val="auto"/>
                <w:w w:val="81"/>
              </w:rPr>
              <w:t>shares</w:t>
            </w:r>
          </w:p>
        </w:tc>
        <w:tc>
          <w:tcPr>
            <w:tcW w:w="12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w w:val="86"/>
              </w:rPr>
              <w:t>US$</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US$</w:t>
            </w:r>
          </w:p>
        </w:tc>
        <w:tc>
          <w:tcPr>
            <w:tcW w:w="12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US$</w:t>
            </w:r>
          </w:p>
        </w:tc>
        <w:tc>
          <w:tcPr>
            <w:tcW w:w="66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US$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w:t>
            </w: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11,082,930</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2"/>
              </w:rPr>
              <w:t>554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17,428,266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2"/>
              </w:rPr>
              <w:t>872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37,439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60,559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99,180</w:t>
            </w:r>
          </w:p>
        </w:tc>
        <w:tc>
          <w:tcPr>
            <w:tcW w:w="100" w:type="dxa"/>
            <w:vAlign w:val="bottom"/>
            <w:shd w:val="clear" w:color="auto" w:fill="CCEEFF"/>
          </w:tcPr>
          <w:p>
            <w:pPr>
              <w:spacing w:after="0"/>
              <w:rPr>
                <w:sz w:val="17"/>
                <w:szCs w:val="17"/>
                <w:color w:val="auto"/>
              </w:rPr>
            </w:pPr>
          </w:p>
        </w:tc>
      </w:tr>
      <w:tr>
        <w:trPr>
          <w:trHeight w:val="202"/>
        </w:trPr>
        <w:tc>
          <w:tcPr>
            <w:tcW w:w="266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4,739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4,739</w:t>
            </w:r>
          </w:p>
        </w:tc>
        <w:tc>
          <w:tcPr>
            <w:tcW w:w="10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2"/>
              </w:rPr>
              <w:t>199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7"/>
                <w:szCs w:val="17"/>
                <w:color w:val="auto"/>
              </w:rPr>
            </w:pPr>
          </w:p>
        </w:tc>
      </w:tr>
      <w:tr>
        <w:trPr>
          <w:trHeight w:val="193"/>
        </w:trPr>
        <w:tc>
          <w:tcPr>
            <w:tcW w:w="2660" w:type="dxa"/>
            <w:vAlign w:val="bottom"/>
          </w:tcPr>
          <w:p>
            <w:pPr>
              <w:spacing w:after="0"/>
              <w:rPr>
                <w:sz w:val="20"/>
                <w:szCs w:val="20"/>
                <w:color w:val="auto"/>
              </w:rPr>
            </w:pPr>
            <w:r>
              <w:rPr>
                <w:rFonts w:ascii="Arial" w:cs="Arial" w:eastAsia="Arial" w:hAnsi="Arial"/>
                <w:sz w:val="16"/>
                <w:szCs w:val="16"/>
                <w:color w:val="auto"/>
              </w:rPr>
              <w:t>Accretion of Series 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6"/>
                <w:szCs w:val="16"/>
                <w:color w:val="auto"/>
              </w:rPr>
              <w:t>Preferred Shares</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900" w:type="dxa"/>
            <w:vAlign w:val="bottom"/>
            <w:gridSpan w:val="2"/>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(370)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(370)</w:t>
            </w: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Issuance of ordinary shares to the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former chief financial officer</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78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2660" w:type="dxa"/>
            <w:vAlign w:val="bottom"/>
          </w:tcPr>
          <w:p>
            <w:pPr>
              <w:spacing w:after="0"/>
              <w:rPr>
                <w:sz w:val="20"/>
                <w:szCs w:val="20"/>
                <w:color w:val="auto"/>
              </w:rPr>
            </w:pPr>
            <w:r>
              <w:rPr>
                <w:rFonts w:ascii="Arial" w:cs="Arial" w:eastAsia="Arial" w:hAnsi="Arial"/>
                <w:sz w:val="16"/>
                <w:szCs w:val="16"/>
                <w:color w:val="auto"/>
                <w:w w:val="93"/>
              </w:rPr>
              <w:t>Issuance of ordinary shares to the Trust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660" w:type="dxa"/>
            <w:vAlign w:val="bottom"/>
          </w:tcPr>
          <w:p>
            <w:pPr>
              <w:ind w:left="160"/>
              <w:spacing w:after="0"/>
              <w:rPr>
                <w:sz w:val="20"/>
                <w:szCs w:val="20"/>
                <w:color w:val="auto"/>
              </w:rPr>
            </w:pPr>
            <w:r>
              <w:rPr>
                <w:rFonts w:ascii="Arial" w:cs="Arial" w:eastAsia="Arial" w:hAnsi="Arial"/>
                <w:sz w:val="16"/>
                <w:szCs w:val="16"/>
                <w:color w:val="auto"/>
              </w:rPr>
              <w:t>Holdcos</w:t>
            </w:r>
          </w:p>
        </w:tc>
        <w:tc>
          <w:tcPr>
            <w:tcW w:w="2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4,765,903</w:t>
            </w:r>
          </w:p>
        </w:tc>
        <w:tc>
          <w:tcPr>
            <w:tcW w:w="1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w w:val="82"/>
              </w:rPr>
              <w:t>238</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4,765,903</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(238)</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 net of nil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266"/>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r>
      <w:tr>
        <w:trPr>
          <w:trHeight w:val="207"/>
        </w:trPr>
        <w:tc>
          <w:tcPr>
            <w:tcW w:w="2660" w:type="dxa"/>
            <w:vAlign w:val="bottom"/>
          </w:tcPr>
          <w:p>
            <w:pPr>
              <w:spacing w:after="0"/>
              <w:rPr>
                <w:sz w:val="20"/>
                <w:szCs w:val="20"/>
                <w:color w:val="auto"/>
              </w:rPr>
            </w:pPr>
            <w:r>
              <w:rPr>
                <w:rFonts w:ascii="Arial" w:cs="Arial" w:eastAsia="Arial" w:hAnsi="Arial"/>
                <w:sz w:val="16"/>
                <w:szCs w:val="16"/>
                <w:b w:val="1"/>
                <w:bCs w:val="1"/>
                <w:color w:val="auto"/>
              </w:rPr>
              <w:t>Balance as of March 31, 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15,875,571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2"/>
              </w:rPr>
              <w:t>794</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4,765,903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(238</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17,428,266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2"/>
              </w:rPr>
              <w:t>872</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37,638</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64,928</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103,679</w:t>
            </w:r>
          </w:p>
        </w:tc>
        <w:tc>
          <w:tcPr>
            <w:tcW w:w="100" w:type="dxa"/>
            <w:vAlign w:val="bottom"/>
          </w:tcPr>
          <w:p>
            <w:pPr>
              <w:spacing w:after="0"/>
              <w:rPr>
                <w:sz w:val="17"/>
                <w:szCs w:val="17"/>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GigaCloud 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 and per share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120" w:right="400" w:firstLine="881"/>
        <w:spacing w:after="0" w:line="381" w:lineRule="auto"/>
        <w:rPr>
          <w:sz w:val="20"/>
          <w:szCs w:val="20"/>
          <w:color w:val="auto"/>
        </w:rPr>
      </w:pPr>
      <w:r>
        <w:rPr>
          <w:rFonts w:ascii="Arial" w:cs="Arial" w:eastAsia="Arial" w:hAnsi="Arial"/>
          <w:sz w:val="15"/>
          <w:szCs w:val="15"/>
          <w:color w:val="auto"/>
        </w:rPr>
        <w:t>Management has considered subsequent events through June 10, 2022, which was the date when the unaudited condensed consolidated financial statements were issued, except for the 1-for-500 share consolidation discussed in Note 2(b) which was effective as of July 5, 2022.</w:t>
      </w:r>
    </w:p>
    <w:p>
      <w:pPr>
        <w:spacing w:after="0" w:line="127"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Dual-class voting structure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July 5, 2022, the Company’s board of directors resolved to adopt a dual-class voting structure that will become effective immediately prior to the completion of this offering. Holders of Class A ordinary shares and holders of Class B ordinary shares will have the same rights, except for voting and conversion rights. In respect of matters requiring a shareholder’s vote, each Class A ordinary share will be entitled to one vote and each Class B ordinary share will be entitled to ten votes. Upon completion of the IPO, the Class B Ordinary Shares will be held only by Mr. Larry Lei Wu and his vehicles, namely Ji Xiang Hu Tong Holdings Limited and Talent Boom Group Limited. All other shareholders will hold only Class A Ordinary Shares.</w:t>
      </w:r>
    </w:p>
    <w:p>
      <w:pPr>
        <w:spacing w:after="0" w:line="161"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Each Class B ordinary share will be convertible into one Class A ordinary share at any time, by the holder thereof. However, Class A ordinary shares will not be convertible into Class B ordinary shares at any time, under any circumstances.</w:t>
      </w:r>
    </w:p>
    <w:p>
      <w:pPr>
        <w:spacing w:after="0" w:line="197"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Issuance of a warrant</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On July 1, 2022, the Company entered into an agreement with Aegis Capital Corp. (the “Underwriter”), pursuant to which, the Company agrees to issue a warrant to the Underwriter upon the completion of this offering, which entitles the Underwriter to purchase up to a total of 1.0% of the Company’s Class A ordinary shares sold in the offering, in the par value of US$0.05 per share, at the exercise price of 150% of the public offering price per share.</w:t>
      </w:r>
    </w:p>
    <w:p>
      <w:pPr>
        <w:spacing w:after="0" w:line="187"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warrants are exercisable in the period, which commences on a date which is six (6) months from the effective date of the offering under this prospectus and expires on a date which is no more than two (2) years from the commencement of sales of the offering. The warrants are subject to a 6-month lock-up and shall not sell, transfer, assign, pledge, or hypothecate these warrants or the ordinary shares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as to all, or a lesser number of ordinary shares and will provide for cashless exercise in the event there is not an effective registration statement for the underlying shares.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ordinary shares at a price below the warrant exercise price.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4180840</wp:posOffset>
            </wp:positionV>
            <wp:extent cx="2802890" cy="6858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02890" cy="685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lowerRoman"/>
      <w:start w:val="1"/>
    </w:lvl>
  </w:abstractNum>
  <w:abstractNum w:abstractNumId="1">
    <w:nsid w:val="4AD084E9"/>
    <w:multiLevelType w:val="hybridMultilevel"/>
    <w:lvl w:ilvl="0">
      <w:lvlJc w:val="left"/>
      <w:lvlText w:val="(%1)"/>
      <w:numFmt w:val="decimal"/>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1)"/>
      <w:numFmt w:val="lowerRoman"/>
      <w:start w:val="2"/>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1)"/>
      <w:numFmt w:val="lowerRoman"/>
      <w:start w:val="1"/>
    </w:lvl>
  </w:abstractNum>
  <w:abstractNum w:abstractNumId="28">
    <w:nsid w:val="68EB2F63"/>
    <w:multiLevelType w:val="hybridMultilevel"/>
    <w:lvl w:ilvl="0">
      <w:lvlJc w:val="left"/>
      <w:lvlText w:val="(%1)"/>
      <w:numFmt w:val="lowerRoman"/>
      <w:start w:val="1"/>
    </w:lvl>
  </w:abstractNum>
  <w:abstractNum w:abstractNumId="29">
    <w:nsid w:val="4962813B"/>
    <w:multiLevelType w:val="hybridMultilevel"/>
    <w:lvl w:ilvl="0">
      <w:lvlJc w:val="left"/>
      <w:lvlText w:val="(%1)"/>
      <w:numFmt w:val="lowerRoman"/>
      <w:start w:val="3"/>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lvl w:ilvl="1">
      <w:lvlJc w:val="left"/>
      <w:lvlText w:val="(%2)"/>
      <w:numFmt w:val="lowerRoman"/>
      <w:start w:val="1"/>
    </w:lvl>
  </w:abstractNum>
  <w:abstractNum w:abstractNumId="39">
    <w:nsid w:val="6F6DD9AC"/>
    <w:multiLevelType w:val="hybridMultilevel"/>
    <w:lvl w:ilvl="0">
      <w:lvlJc w:val="left"/>
      <w:lvlText w:val="(%1)"/>
      <w:numFmt w:val="lowerRoman"/>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decimal"/>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1)"/>
      <w:numFmt w:val="decimal"/>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lowerRoman"/>
      <w:start w:val="1"/>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1)"/>
      <w:numFmt w:val="lowerRoman"/>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1)"/>
      <w:numFmt w:val="decimal"/>
      <w:start w:val="3"/>
    </w:lvl>
  </w:abstractNum>
  <w:abstractNum w:abstractNumId="83">
    <w:nsid w:val="59ADEA3D"/>
    <w:multiLevelType w:val="hybridMultilevel"/>
    <w:lvl w:ilvl="0">
      <w:lvlJc w:val="left"/>
      <w:lvlText w:val="(%1)"/>
      <w:numFmt w:val="decimal"/>
      <w:start w:val="7"/>
    </w:lvl>
  </w:abstractNum>
  <w:abstractNum w:abstractNumId="84">
    <w:nsid w:val="288F1A34"/>
    <w:multiLevelType w:val="hybridMultilevel"/>
    <w:lvl w:ilvl="0">
      <w:lvlJc w:val="left"/>
      <w:lvlText w:val="(%1)"/>
      <w:numFmt w:val="lowerRoman"/>
      <w:start w:val="4"/>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1)"/>
      <w:numFmt w:val="decimal"/>
      <w:start w:val="6"/>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2"/>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decimal"/>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1."/>
      <w:numFmt w:val="decimal"/>
      <w:start w:val="21"/>
    </w:lvl>
  </w:abstractNum>
  <w:abstractNum w:abstractNumId="120">
    <w:nsid w:val="519E3149"/>
    <w:multiLevelType w:val="hybridMultilevel"/>
    <w:lvl w:ilvl="0">
      <w:lvlJc w:val="left"/>
      <w:lvlText w:val="(%1)"/>
      <w:numFmt w:val="lowerRoman"/>
      <w:start w:val="1"/>
    </w:lvl>
  </w:abstractNum>
  <w:abstractNum w:abstractNumId="121">
    <w:nsid w:val="2C6E4AFD"/>
    <w:multiLevelType w:val="hybridMultilevel"/>
    <w:lvl w:ilvl="0">
      <w:lvlJc w:val="left"/>
      <w:lvlText w:val="(%1)"/>
      <w:numFmt w:val="lowerRoman"/>
      <w:start w:val="2"/>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1)"/>
      <w:numFmt w:val="lowerLetter"/>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
      <w:numFmt w:val="bullet"/>
      <w:start w:val="1"/>
    </w:lvl>
  </w:abstractNum>
  <w:abstractNum w:abstractNumId="128">
    <w:nsid w:val="19E21BB2"/>
    <w:multiLevelType w:val="hybridMultilevel"/>
    <w:lvl w:ilvl="0">
      <w:lvlJc w:val="left"/>
      <w:lvlText w:val="(%1)"/>
      <w:numFmt w:val="decimal"/>
      <w:start w:val="2"/>
    </w:lvl>
  </w:abstractNum>
  <w:abstractNum w:abstractNumId="129">
    <w:nsid w:val="75E0858A"/>
    <w:multiLevelType w:val="hybridMultilevel"/>
    <w:lvl w:ilvl="0">
      <w:lvlJc w:val="left"/>
      <w:lvlText w:val="(%1)"/>
      <w:numFmt w:val="lowerRoman"/>
      <w:start w:val="1"/>
    </w:lvl>
  </w:abstractNum>
  <w:abstractNum w:abstractNumId="130">
    <w:nsid w:val="57A61A2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2022-08-19T05:37:54Z</dcterms:created>
  <dcterms:modified xsi:type="dcterms:W3CDTF">2022-08-19T05:37:54Z</dcterms:modified>
</cp:coreProperties>
</file>